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57" w:after="57"/>
        <w:contextualSpacing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center"/>
        <w:rPr/>
      </w:pPr>
      <w:r>
        <w:rPr/>
        <w:t xml:space="preserve"> </w:t>
      </w:r>
      <w:r>
        <w:rPr>
          <w:b/>
          <w:sz w:val="36"/>
        </w:rPr>
        <w:t xml:space="preserve">SPECYFIKACJA TECHNICZNA WYKONANIA </w:t>
      </w:r>
    </w:p>
    <w:p>
      <w:pPr>
        <w:pStyle w:val="Normal"/>
        <w:jc w:val="center"/>
        <w:rPr>
          <w:b/>
          <w:b/>
          <w:strike w:val="false"/>
          <w:dstrike w:val="false"/>
          <w:sz w:val="36"/>
          <w:u w:val="none"/>
        </w:rPr>
      </w:pPr>
      <w:r>
        <w:rPr>
          <w:b/>
          <w:strike w:val="false"/>
          <w:dstrike w:val="false"/>
          <w:sz w:val="36"/>
          <w:u w:val="none"/>
        </w:rPr>
        <w:t xml:space="preserve">I ODBIORU ROBÓT BUDOWLANYCH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Normal"/>
        <w:jc w:val="center"/>
        <w:rPr/>
      </w:pPr>
      <w:r>
        <w:rPr/>
        <w:t xml:space="preserve"> </w:t>
      </w:r>
      <w:r>
        <w:rPr>
          <w:b/>
          <w:bCs/>
          <w:sz w:val="36"/>
          <w:szCs w:val="36"/>
        </w:rPr>
        <w:t>M.</w:t>
      </w:r>
      <w:r>
        <w:rPr>
          <w:b/>
          <w:sz w:val="36"/>
        </w:rPr>
        <w:t xml:space="preserve">11.01.04 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ZASYPANIE WYKOPÓW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WRAZ Z ZAGĘSZCZENIEM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agwekspisutreci"/>
            <w:rPr/>
          </w:pPr>
          <w:r>
            <w:br w:type="page"/>
          </w:r>
          <w:r>
            <w:rPr/>
            <w:t>Spis treści</w:t>
          </w:r>
        </w:p>
        <w:p>
          <w:pPr>
            <w:pStyle w:val="Spistreci1"/>
            <w:rPr/>
          </w:pPr>
          <w:r>
            <w:fldChar w:fldCharType="begin"/>
          </w:r>
          <w:r>
            <w:rPr>
              <w:rStyle w:val="Czeindeksu"/>
            </w:rPr>
            <w:instrText xml:space="preserve"> TOC \f \o "1-9" \h</w:instrText>
          </w:r>
          <w:r>
            <w:rPr>
              <w:rStyle w:val="Czeindeksu"/>
            </w:rPr>
            <w:fldChar w:fldCharType="separate"/>
          </w:r>
          <w:hyperlink w:anchor="__RefHeading___Toc461_3993978502">
            <w:r>
              <w:rPr>
                <w:rStyle w:val="Czeindeksu"/>
              </w:rPr>
              <w:t>1. WSTĘP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5_760393915">
            <w:r>
              <w:rPr>
                <w:rStyle w:val="Czeindeksu"/>
              </w:rPr>
              <w:t>2. MATERIAŁY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7_760393915">
            <w:r>
              <w:rPr>
                <w:rStyle w:val="Czeindeksu"/>
              </w:rPr>
              <w:t>3. SPRZĘT.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9_760393915">
            <w:r>
              <w:rPr>
                <w:rStyle w:val="Czeindeksu"/>
              </w:rPr>
              <w:t>4. TRANSPORT: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1_760393915">
            <w:r>
              <w:rPr>
                <w:rStyle w:val="Czeindeksu"/>
              </w:rPr>
              <w:t>5. WYKONANIE ROBÓT:</w:t>
              <w:tab/>
              <w:t>5</w:t>
            </w:r>
          </w:hyperlink>
        </w:p>
        <w:p>
          <w:pPr>
            <w:pStyle w:val="Spistreci1"/>
            <w:rPr/>
          </w:pPr>
          <w:hyperlink w:anchor="__RefHeading___Toc1873_760393915">
            <w:r>
              <w:rPr>
                <w:rStyle w:val="Czeindeksu"/>
              </w:rPr>
              <w:t>6. KONTROLA JAKOŚCI ROBÓT: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1875_760393915">
            <w:r>
              <w:rPr>
                <w:rStyle w:val="Czeindeksu"/>
              </w:rPr>
              <w:t>7. OBMIAR ROBÓT: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36_2645473935">
            <w:r>
              <w:rPr>
                <w:rStyle w:val="Czeindeksu"/>
              </w:rPr>
              <w:t>8. ODBIÓR ROBÓT</w:t>
              <w:tab/>
              <w:t>7</w:t>
            </w:r>
          </w:hyperlink>
        </w:p>
        <w:p>
          <w:pPr>
            <w:pStyle w:val="Spistreci1"/>
            <w:rPr/>
          </w:pPr>
          <w:hyperlink w:anchor="__RefHeading___Toc538_2645473935">
            <w:r>
              <w:rPr>
                <w:rStyle w:val="Czeindeksu"/>
              </w:rPr>
              <w:t>9. PODSTAWA PŁATNOŚCI</w:t>
              <w:tab/>
              <w:t>7</w:t>
            </w:r>
          </w:hyperlink>
        </w:p>
        <w:p>
          <w:pPr>
            <w:pStyle w:val="Spistreci1"/>
            <w:rPr/>
          </w:pPr>
          <w:hyperlink w:anchor="__RefHeading___Toc540_2645473935">
            <w:r>
              <w:rPr>
                <w:rStyle w:val="Czeindeksu"/>
              </w:rPr>
              <w:t>10. PRZEPISY ZWIĄZANE</w:t>
              <w:tab/>
              <w:t>7</w:t>
            </w:r>
          </w:hyperlink>
          <w:r>
            <w:rPr>
              <w:rStyle w:val="Czeindeksu"/>
            </w:rPr>
            <w:fldChar w:fldCharType="end"/>
          </w:r>
        </w:p>
      </w:sdtContent>
    </w:sdt>
    <w:p>
      <w:pPr>
        <w:pStyle w:val="Normal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agwek1"/>
        <w:keepNext w:val="true"/>
        <w:spacing w:lineRule="auto" w:line="360" w:before="113" w:after="57"/>
        <w:ind w:left="0" w:right="-340" w:hanging="0"/>
        <w:jc w:val="left"/>
        <w:rPr/>
      </w:pPr>
      <w:bookmarkStart w:id="0" w:name="__RefHeading___Toc461_3993978502"/>
      <w:bookmarkEnd w:id="0"/>
      <w:r>
        <w:rPr/>
        <w:t>WSTĘP</w:t>
      </w:r>
    </w:p>
    <w:p>
      <w:pPr>
        <w:pStyle w:val="Normal"/>
        <w:rPr>
          <w:b/>
          <w:b/>
          <w:bCs/>
        </w:rPr>
      </w:pPr>
      <w:bookmarkStart w:id="1" w:name="__RefHeading___Toc463_3993978502"/>
      <w:bookmarkEnd w:id="1"/>
      <w:r>
        <w:rPr>
          <w:b/>
          <w:bCs/>
        </w:rPr>
        <w:t>1.1. Przedmiot STWiORB</w:t>
      </w:r>
    </w:p>
    <w:p>
      <w:pPr>
        <w:pStyle w:val="Tretekstu"/>
        <w:rPr/>
      </w:pPr>
      <w:r>
        <w:rPr>
          <w:sz w:val="23"/>
        </w:rPr>
        <w:tab/>
        <w:t xml:space="preserve">Przedmiotem niniejszej STWiORB są wymagania dotyczące wykonywania i odbioru robót rozbiórkowych i przygotowawczych w związku z rozbiórką kładki dla pieszych nad torami PKP linii Kutno-Piła (linia nr 18, w km 91,863) w Aleksandrowie Kujawskim , w sąsiedztwie przejazdu kolejowego w ul. Dworcowej </w:t>
      </w:r>
    </w:p>
    <w:p>
      <w:pPr>
        <w:pStyle w:val="Normal"/>
        <w:rPr>
          <w:b/>
          <w:b/>
          <w:bCs/>
        </w:rPr>
      </w:pPr>
      <w:bookmarkStart w:id="2" w:name="__RefHeading___Toc465_3993978502"/>
      <w:bookmarkEnd w:id="2"/>
      <w:r>
        <w:rPr>
          <w:b/>
          <w:bCs/>
        </w:rPr>
        <w:t>1.2. Zakres stosowania STWiORB</w:t>
      </w:r>
    </w:p>
    <w:p>
      <w:pPr>
        <w:pStyle w:val="Tretekstu"/>
        <w:rPr/>
      </w:pPr>
      <w:r>
        <w:rPr/>
        <w:tab/>
        <w:t xml:space="preserve">Specyfikacje Techniczne stanowią część Dokumentów Przetargowych i Kontraktowych i należy je stosować w zlecaniu i wykonaniu Robót opisanych w podpunkcie 1.1. </w:t>
      </w:r>
    </w:p>
    <w:p>
      <w:pPr>
        <w:pStyle w:val="Normal"/>
        <w:rPr/>
      </w:pPr>
      <w:bookmarkStart w:id="3" w:name="__RefHeading___Toc467_3993978502"/>
      <w:bookmarkEnd w:id="3"/>
      <w:r>
        <w:rPr>
          <w:b/>
          <w:bCs/>
          <w:szCs w:val="24"/>
        </w:rPr>
        <w:t xml:space="preserve">1.3. </w:t>
      </w:r>
      <w:r>
        <w:rPr>
          <w:b/>
          <w:bCs/>
        </w:rPr>
        <w:t>Zakres robót objętych STWiORB</w:t>
      </w:r>
    </w:p>
    <w:p>
      <w:pPr>
        <w:pStyle w:val="Tretekstu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Ustalenia zawarte w niniejszej specyfikacji dotyczą prowadzenia robót ziemnych przy </w:t>
      </w:r>
    </w:p>
    <w:p>
      <w:pPr>
        <w:pStyle w:val="Tretekstu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budowie i rozbiórce obiektów i obejmują: </w:t>
      </w:r>
    </w:p>
    <w:p>
      <w:pPr>
        <w:pStyle w:val="Tretekstu"/>
        <w:numPr>
          <w:ilvl w:val="0"/>
          <w:numId w:val="6"/>
        </w:numPr>
        <w:ind w:left="720" w:right="0" w:hanging="360"/>
        <w:rPr/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przygotowanie materiału o optymalnej wilgotności do wbudowania, </w:t>
      </w:r>
    </w:p>
    <w:p>
      <w:pPr>
        <w:pStyle w:val="Tretekstu"/>
        <w:numPr>
          <w:ilvl w:val="0"/>
          <w:numId w:val="6"/>
        </w:numPr>
        <w:ind w:left="720" w:right="0" w:hanging="360"/>
        <w:rPr/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zasypanie wykopów po ławach fundamentowych wraz z zagęszczeniem - gruntem z odkładu tymczasowego, </w:t>
      </w:r>
    </w:p>
    <w:p>
      <w:pPr>
        <w:pStyle w:val="Tretekstu"/>
        <w:numPr>
          <w:ilvl w:val="0"/>
          <w:numId w:val="6"/>
        </w:numPr>
        <w:ind w:left="720" w:right="0" w:hanging="360"/>
        <w:rPr/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zasypanie wykopów po ławach fundamentowych wraz z zagęszczeniem – z transportem gruntu z dokopu Wykonawcy, </w:t>
      </w:r>
    </w:p>
    <w:p>
      <w:pPr>
        <w:pStyle w:val="Tretekstu"/>
        <w:numPr>
          <w:ilvl w:val="0"/>
          <w:numId w:val="6"/>
        </w:numPr>
        <w:ind w:left="72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ręczne plantowanie powierzchni terenu - gruntu rodzimego kat. I-III.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1.4. Określenia podstawowe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rFonts w:eastAsia="NSimSun" w:cs="Lucida Sans"/>
          <w:b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1.4.1. Wskaźnik różnoziarnistości U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- wielkość charakteryzująca zagęszczalność gruntów niespoistych. 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rFonts w:eastAsia="NSimSun" w:cs="Lucida Sans"/>
          <w:b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1.4.2. Wskaźnik zagęszczenia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- jest to stosunek gęstości objętościowej szkieletu gruntowego 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ρ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vertAlign w:val="subscript"/>
          <w:lang w:val="pl-PL" w:eastAsia="zh-CN" w:bidi="hi-IN"/>
        </w:rPr>
        <w:t>d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gruntu sztucznie zagęszczonego do maksymalnej gęstości objętościowej szkieletu gruntowego 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ρ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vertAlign w:val="subscript"/>
          <w:lang w:val="pl-PL" w:eastAsia="zh-CN" w:bidi="hi-IN"/>
        </w:rPr>
        <w:t>ds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. 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rFonts w:eastAsia="NSimSun" w:cs="Lucida Sans"/>
          <w:b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1.4.3. Wilgotność optymalna gruntu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- wilgotność optymalna gruntu jest to wilgotność, przy której grunt ubijany w sposób znormalizowany uzyskuje maksymalną gęstość objętościową 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ρ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vertAlign w:val="subscript"/>
          <w:lang w:val="pl-PL" w:eastAsia="zh-CN" w:bidi="hi-IN"/>
        </w:rPr>
        <w:t>d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. 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rFonts w:eastAsia="NSimSun" w:cs="Lucida Sans"/>
          <w:b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1.4.4. Zasypka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- grunt nasypowy, którym uzupełnia się przestrzeń w wykopie poniżej poziomu terenu po wybudowaniu konstrukcji dla której wykonano wykop. 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rFonts w:eastAsia="NSimSun" w:cs="Lucida Sans"/>
          <w:b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>1.4.5.</w:t>
      </w: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 xml:space="preserve"> Pozostałe określenia podane w niniejszej STWiORB są zgodne z obowiązującymi odpowiednimi normami i STWiORB DM.00.00.00 "Wymagania ogólne". 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z w:val="23"/>
          <w:szCs w:val="24"/>
          <w:u w:val="none"/>
        </w:rPr>
        <w:t>1.5. Ogólne wymagania dotyczące robót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0" w:right="0" w:hanging="0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  <w:tab/>
        <w:t xml:space="preserve">Wykonawca robót jest odpowiedzialny za jakość ich wykonania oraz za zgodność z Dokumentacją Projektową, STWiORB i poleceniami Inżyniera.  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  <w:tab/>
        <w:t>Ogólne wymagania dotyczące robót podano w ST D-M.00.00.00 "Wymagania ogólne"</w:t>
      </w:r>
    </w:p>
    <w:p>
      <w:pPr>
        <w:pStyle w:val="Normal"/>
        <w:widowControl/>
        <w:suppressAutoHyphens w:val="true"/>
        <w:overflowPunct w:val="true"/>
        <w:bidi w:val="0"/>
        <w:spacing w:lineRule="auto" w:line="360" w:before="57" w:after="57"/>
        <w:ind w:left="567" w:right="0" w:hanging="567"/>
        <w:contextualSpacing/>
        <w:jc w:val="both"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</w:r>
    </w:p>
    <w:p>
      <w:pPr>
        <w:pStyle w:val="Nagwek1"/>
        <w:ind w:left="57" w:right="0" w:hanging="0"/>
        <w:rPr/>
      </w:pPr>
      <w:bookmarkStart w:id="4" w:name="__RefHeading___Toc1865_760393915"/>
      <w:bookmarkEnd w:id="4"/>
      <w:r>
        <w:rPr/>
        <w:t>MATERIAŁY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2.1. Ogólne wymagania dotyczące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materiałów, ich pozyskiwania i składowania podano w STWiORB DM.00.00.00 „Wymagania ogólne” pkt 2. </w:t>
      </w: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Sposób zagospodarowania materiałów z rozbiórki opisano w STWiORB DM.00.00.00 „Wymagania ogólne” pkt 2.4.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color w:val="auto"/>
          <w:sz w:val="23"/>
          <w:szCs w:val="24"/>
          <w:u w:val="none"/>
        </w:rPr>
        <w:t xml:space="preserve">2.2. </w:t>
      </w:r>
      <w:r>
        <w:rPr>
          <w:b/>
          <w:bCs/>
          <w:strike w:val="false"/>
          <w:dstrike w:val="false"/>
          <w:color w:val="auto"/>
          <w:sz w:val="22"/>
          <w:szCs w:val="22"/>
          <w:u w:val="none"/>
        </w:rPr>
        <w:t>Wymagania gruntu do zasypki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ab/>
        <w:t xml:space="preserve">Materiałem stosowanym przy wykonywaniu robót według zasad niniejszych STWiORB są grunty sypkie odpowiadające wymaganiom normy PN-S-02205:1998, grunty z dokopu Wykonawcy lub pochodzące z wykopów pod zasypywane elementy.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ab/>
        <w:t xml:space="preserve">Jako materiał zasypki należy stosować żwiry, pospółki i piaski co najmniej średnioziarniste o wskaźniku różnoziarnistości nie mniejszym od 5. 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ab/>
        <w:t xml:space="preserve">Do zasypania fundamentów wykonanych w gruntach spoistych należy zastosować grunt rodzimy lub inny grunt o podobnych właściwościach jak grunt pochodzący z wykopów.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ab/>
        <w:t xml:space="preserve">Materiały przed wbudowaniem muszą być zaakceptowane przez Inżyniera.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5" w:name="__RefHeading___Toc1867_760393915"/>
      <w:bookmarkEnd w:id="5"/>
      <w:r>
        <w:rPr/>
        <w:t>SPRZĘT.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3.1. Ogólne wymagania dotyczące sprzętu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sprzętu podano w STWiORB DM.00.00.00 „Wymagania ogólne” pkt 3.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3.2. Sprzęt </w:t>
      </w:r>
      <w:r>
        <w:rPr>
          <w:b/>
          <w:bCs/>
          <w:strike w:val="false"/>
          <w:dstrike w:val="false"/>
          <w:sz w:val="22"/>
          <w:szCs w:val="22"/>
          <w:u w:val="none"/>
        </w:rPr>
        <w:t xml:space="preserve">wykorzystywany do robót </w:t>
      </w:r>
    </w:p>
    <w:p>
      <w:pPr>
        <w:pStyle w:val="Tretekstu"/>
        <w:jc w:val="both"/>
        <w:rPr/>
      </w:pPr>
      <w:r>
        <w:rPr>
          <w:sz w:val="23"/>
        </w:rPr>
        <w:tab/>
        <w:t xml:space="preserve">Wykonawca przystępujący do zasypywania wykopów powinien mieć do dyspozycji następujący sprzęt: </w:t>
      </w:r>
    </w:p>
    <w:p>
      <w:pPr>
        <w:pStyle w:val="Tretekstu"/>
        <w:numPr>
          <w:ilvl w:val="0"/>
          <w:numId w:val="7"/>
        </w:numPr>
        <w:ind w:left="720" w:right="0" w:hanging="360"/>
        <w:jc w:val="both"/>
        <w:rPr/>
      </w:pPr>
      <w:r>
        <w:rPr>
          <w:sz w:val="23"/>
        </w:rPr>
        <w:t xml:space="preserve">koparki lub koparkoładowarki do zasypywania wykopów lub formowania nasypów, </w:t>
      </w:r>
    </w:p>
    <w:p>
      <w:pPr>
        <w:pStyle w:val="Tretekstu"/>
        <w:numPr>
          <w:ilvl w:val="0"/>
          <w:numId w:val="7"/>
        </w:numPr>
        <w:ind w:left="720" w:right="0" w:hanging="360"/>
        <w:jc w:val="both"/>
        <w:rPr/>
      </w:pPr>
      <w:r>
        <w:rPr>
          <w:sz w:val="23"/>
        </w:rPr>
        <w:t xml:space="preserve">sprzęt do ręcznego zasypywania wykopów, </w:t>
      </w:r>
    </w:p>
    <w:p>
      <w:pPr>
        <w:pStyle w:val="Tretekstu"/>
        <w:numPr>
          <w:ilvl w:val="0"/>
          <w:numId w:val="7"/>
        </w:numPr>
        <w:ind w:left="720" w:right="0" w:hanging="360"/>
        <w:jc w:val="both"/>
        <w:rPr/>
      </w:pPr>
      <w:r>
        <w:rPr>
          <w:sz w:val="23"/>
        </w:rPr>
        <w:t xml:space="preserve">wibratory płytowe, </w:t>
      </w:r>
    </w:p>
    <w:p>
      <w:pPr>
        <w:pStyle w:val="Tretekstu"/>
        <w:numPr>
          <w:ilvl w:val="0"/>
          <w:numId w:val="7"/>
        </w:numPr>
        <w:ind w:left="720" w:right="0" w:hanging="360"/>
        <w:jc w:val="both"/>
        <w:rPr/>
      </w:pPr>
      <w:r>
        <w:rPr>
          <w:sz w:val="23"/>
        </w:rPr>
        <w:t xml:space="preserve">lekkie walce, </w:t>
      </w:r>
    </w:p>
    <w:p>
      <w:pPr>
        <w:pStyle w:val="Tretekstu"/>
        <w:jc w:val="both"/>
        <w:rPr/>
      </w:pPr>
      <w:r>
        <w:rPr>
          <w:sz w:val="23"/>
        </w:rPr>
        <w:tab/>
        <w:t xml:space="preserve">Rozgarnięcie gruntu należy wykonać mechanicznie i ręcznie. </w:t>
      </w:r>
    </w:p>
    <w:p>
      <w:pPr>
        <w:pStyle w:val="Tretekstu"/>
        <w:jc w:val="both"/>
        <w:rPr/>
      </w:pPr>
      <w:r>
        <w:rPr>
          <w:sz w:val="23"/>
        </w:rPr>
        <w:tab/>
        <w:t xml:space="preserve">Sprzęt używany do zasypywania i zagęszczania wykopów musi być zaakceptowany przez Inżyniera. 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6" w:name="__RefHeading___Toc1869_760393915"/>
      <w:bookmarkEnd w:id="6"/>
      <w:r>
        <w:rPr/>
        <w:t>TRANSPORT: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4.1. Ogólne wymagania dotyczące transportu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transportu podano w STWiORB DM.00.00.00 „Wymagania ogólne” pkt 4. </w:t>
      </w:r>
    </w:p>
    <w:p>
      <w:pPr>
        <w:pStyle w:val="Default"/>
        <w:spacing w:lineRule="auto" w:line="360" w:before="57" w:after="57"/>
        <w:contextualSpacing/>
        <w:rPr>
          <w:color w:val="auto"/>
        </w:rPr>
      </w:pPr>
      <w:r>
        <w:rPr>
          <w:b/>
          <w:bCs/>
          <w:strike w:val="false"/>
          <w:dstrike w:val="false"/>
          <w:color w:val="auto"/>
          <w:sz w:val="23"/>
          <w:szCs w:val="24"/>
          <w:u w:val="none"/>
        </w:rPr>
        <w:t xml:space="preserve">4.2. Transport </w:t>
      </w:r>
      <w:r>
        <w:rPr>
          <w:b/>
          <w:bCs/>
          <w:strike w:val="false"/>
          <w:dstrike w:val="false"/>
          <w:color w:val="auto"/>
          <w:sz w:val="22"/>
          <w:szCs w:val="22"/>
          <w:u w:val="none"/>
        </w:rPr>
        <w:t>materiałów do wykonania robót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Materiały przewidziane ustaleniami niniejszej ST do wykonania robót przewożone będą samowyładowczymi środkami transportu. 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Załadunek, transport, rozładunek i składowanie materiałów do zasypywania wykopów powinny odbywać się tak, aby zabezpieczyć grunt przed zanieczyszczeniem i utratą wymaganych właściwości.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7" w:name="__RefHeading___Toc1871_760393915"/>
      <w:bookmarkEnd w:id="7"/>
      <w:r>
        <w:rPr/>
        <w:t>WYKONANIE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5.1. Ogólne zasady wykonania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wykonania robót podano w STWiORB DM.00.00.00 „Wymagania ogólne” pkt 5.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5.2. </w:t>
      </w:r>
      <w:r>
        <w:rPr>
          <w:b/>
          <w:bCs/>
          <w:strike w:val="false"/>
          <w:dstrike w:val="false"/>
          <w:sz w:val="22"/>
          <w:szCs w:val="22"/>
          <w:u w:val="none"/>
        </w:rPr>
        <w:t>Zakres wykonywanych robót</w:t>
      </w:r>
    </w:p>
    <w:p>
      <w:pPr>
        <w:pStyle w:val="Tretekstu"/>
        <w:rPr/>
      </w:pPr>
      <w:r>
        <w:rPr>
          <w:sz w:val="23"/>
        </w:rPr>
        <w:tab/>
        <w:t xml:space="preserve">Zasypywanie wykopów należy prowadzić zgodnie z ustaloną kolejnością robót, na podstawie harmonogramu opracowanego przez Wykonawcę i zaakceptowanego przez Inżyniera. Harmonogram ten musi uwzględniać etapowanie robót. Kolejność wykonania wykopów i zasypek na podstawie Dokumentacji Projektowej.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5.3. Zasypywanie</w:t>
      </w:r>
      <w:r>
        <w:rPr>
          <w:b/>
          <w:bCs/>
          <w:strike w:val="false"/>
          <w:dstrike w:val="false"/>
          <w:sz w:val="22"/>
          <w:szCs w:val="22"/>
          <w:u w:val="none"/>
        </w:rPr>
        <w:t xml:space="preserve"> wykopów</w:t>
      </w:r>
    </w:p>
    <w:p>
      <w:pPr>
        <w:pStyle w:val="Default"/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ab/>
        <w:t xml:space="preserve">Zasypywanie wykopów powinno być przeprowadzone bezpośrednio po wykonaniu w nich określonych Dokumentacją Projektową robót i po uzyskaniu zgody Inżyniera. Przed przystąpieniem do zasypywania dno wykopu powinno być oczyszczone w tym z zanieczyszczeń obcych i odwodnione. Do zasypywania powinien być użyty grunt niezamarznięty i bez zanieczyszczeń. </w:t>
      </w:r>
    </w:p>
    <w:p>
      <w:pPr>
        <w:pStyle w:val="Default"/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Dla obiektów nowych - ławy fundamentowe można zasypać po ich zaizolowaniu.  </w:t>
      </w:r>
    </w:p>
    <w:p>
      <w:pPr>
        <w:pStyle w:val="Default"/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Układanie warstw gruntu i ich zagęszczenie w pobliżu elementów budowli powinno być dokonywane w taki sposób, aby nie spowodować uszkodzenia budowli ani izolacji przeciwwilgociowej. </w:t>
      </w:r>
    </w:p>
    <w:p>
      <w:pPr>
        <w:pStyle w:val="Default"/>
        <w:spacing w:lineRule="auto" w:line="360" w:before="57" w:after="57"/>
        <w:contextualSpacing/>
        <w:jc w:val="both"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5.4. </w:t>
      </w:r>
      <w:r>
        <w:rPr>
          <w:b/>
          <w:bCs/>
          <w:strike w:val="false"/>
          <w:dstrike w:val="false"/>
          <w:sz w:val="22"/>
          <w:szCs w:val="22"/>
          <w:u w:val="none"/>
        </w:rPr>
        <w:t>Zagęszczanie gruntu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ab/>
        <w:t>Zagęszczanie gruntu w rejonie konstrukcji należy wykonywać warstwami o grubości dostosowanej do przyjętej metody zagęszczania gruntu i użytego sprzętu. Grubość zagęszczanych warstw winna wynosić nie więcej niż 30 cm.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ab/>
        <w:t xml:space="preserve">Zagęszczenie gruntu przy zasypywaniu urządzeń lub warstw odwadniających powinno odbywać się ręcznie do wysokości około 30 cm powyżej urządzenia lub warstwy odwadniającej, w  taki sposób, aby nie spowodować uszkodzenia systemu odwadniającego. 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 xml:space="preserve">Warstwy gruntu można zagęszczać ręcznie lub mechanicznie. Wskaźnik zagęszczenia wg metody Proctora nie powinien być mniejszy niż: </w:t>
      </w:r>
    </w:p>
    <w:p>
      <w:pPr>
        <w:pStyle w:val="Default"/>
        <w:spacing w:lineRule="auto" w:line="360" w:before="57" w:after="57"/>
        <w:ind w:left="709" w:hanging="0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 xml:space="preserve">1,00 - wykopy przy fundamentach podpór (gdy pobliżu występuje obciążenie </w:t>
      </w:r>
    </w:p>
    <w:p>
      <w:pPr>
        <w:pStyle w:val="Default"/>
        <w:widowControl/>
        <w:suppressAutoHyphens w:val="true"/>
        <w:overflowPunct w:val="true"/>
        <w:bidi w:val="0"/>
        <w:spacing w:lineRule="auto" w:line="360" w:before="57" w:after="57"/>
        <w:ind w:left="1247" w:right="0" w:hanging="0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 xml:space="preserve">ruchem pojazdów) </w:t>
      </w:r>
    </w:p>
    <w:p>
      <w:pPr>
        <w:pStyle w:val="Default"/>
        <w:spacing w:lineRule="auto" w:line="360" w:before="57" w:after="57"/>
        <w:ind w:left="709" w:hanging="0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2"/>
          <w:szCs w:val="22"/>
          <w:u w:val="none"/>
        </w:rPr>
        <w:t xml:space="preserve">0,97 - wykopy po fundamentach podpór (pozostałe)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8" w:name="__RefHeading___Toc1873_760393915"/>
      <w:bookmarkEnd w:id="8"/>
      <w:r>
        <w:rPr/>
        <w:t>KONTROLA JAKOŚCI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6.1. Ogólne zasady kontroli jakości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kontroli jakości robót podano w STWiORB DM.00.00.00 „Wymagania ogólne” pkt 6.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6.2. </w:t>
      </w:r>
      <w:r>
        <w:rPr>
          <w:b/>
          <w:bCs/>
          <w:strike w:val="false"/>
          <w:dstrike w:val="false"/>
          <w:sz w:val="22"/>
          <w:szCs w:val="22"/>
          <w:u w:val="none"/>
        </w:rPr>
        <w:t>Kontrola i badania przy odbiorze</w:t>
      </w:r>
    </w:p>
    <w:p>
      <w:pPr>
        <w:pStyle w:val="Tretekstu"/>
        <w:ind w:left="0" w:right="0" w:hanging="0"/>
        <w:rPr/>
      </w:pPr>
      <w:r>
        <w:rPr>
          <w:strike w:val="false"/>
          <w:dstrike w:val="false"/>
          <w:sz w:val="23"/>
          <w:szCs w:val="24"/>
        </w:rPr>
        <w:tab/>
        <w:t>Podczas dokonywania odbioru należy wykonać następujące sprawdzenia i badania:</w:t>
      </w:r>
    </w:p>
    <w:p>
      <w:pPr>
        <w:pStyle w:val="Tretekstu"/>
        <w:ind w:left="709" w:right="0" w:hanging="0"/>
        <w:rPr/>
      </w:pPr>
      <w:r>
        <w:rPr>
          <w:strike w:val="false"/>
          <w:dstrike w:val="false"/>
          <w:sz w:val="23"/>
          <w:szCs w:val="24"/>
        </w:rPr>
        <w:t xml:space="preserve">a) sprawdzenie zgodności z Dokumentacją Projektową, </w:t>
      </w:r>
    </w:p>
    <w:p>
      <w:pPr>
        <w:pStyle w:val="Tretekstu"/>
        <w:ind w:left="709" w:right="0" w:hanging="0"/>
        <w:rPr/>
      </w:pPr>
      <w:r>
        <w:rPr>
          <w:strike w:val="false"/>
          <w:dstrike w:val="false"/>
          <w:sz w:val="23"/>
          <w:szCs w:val="24"/>
        </w:rPr>
        <w:t xml:space="preserve">b) sprawdzenie wykonanych zasypek, </w:t>
      </w:r>
    </w:p>
    <w:p>
      <w:pPr>
        <w:pStyle w:val="Tretekstu"/>
        <w:ind w:left="709" w:right="0" w:hanging="0"/>
        <w:rPr/>
      </w:pPr>
      <w:r>
        <w:rPr>
          <w:strike w:val="false"/>
          <w:dstrike w:val="false"/>
          <w:sz w:val="23"/>
          <w:szCs w:val="24"/>
        </w:rPr>
        <w:t xml:space="preserve">c) sprawdzenie rzędnych, </w:t>
      </w:r>
    </w:p>
    <w:p>
      <w:pPr>
        <w:pStyle w:val="Tretekstu"/>
        <w:widowControl/>
        <w:suppressAutoHyphens w:val="true"/>
        <w:overflowPunct w:val="true"/>
        <w:bidi w:val="0"/>
        <w:spacing w:lineRule="auto" w:line="276" w:before="0" w:after="142"/>
        <w:ind w:left="964" w:right="0" w:hanging="283"/>
        <w:contextualSpacing/>
        <w:jc w:val="both"/>
        <w:rPr/>
      </w:pPr>
      <w:r>
        <w:rPr>
          <w:strike w:val="false"/>
          <w:dstrike w:val="false"/>
          <w:sz w:val="23"/>
          <w:szCs w:val="24"/>
        </w:rPr>
        <w:t xml:space="preserve">d) sprawdzenie zagęszczenia gruntów na podstawie BN-77/8931-12 - wymagany wskaźnik zagęszczenia 1,00 lub 0,97 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9" w:name="__RefHeading___Toc1875_760393915"/>
      <w:bookmarkEnd w:id="9"/>
      <w:r>
        <w:rPr/>
        <w:t>OBMIAR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7.1. Ogólne zasady obmiaru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obmiaru robót podano w ST D-M-00.00.00 „Wymagania ogólne” pkt 7. </w:t>
      </w:r>
    </w:p>
    <w:p>
      <w:pPr>
        <w:pStyle w:val="Tretekstu"/>
        <w:rPr/>
      </w:pPr>
      <w:r>
        <w:rPr>
          <w:sz w:val="23"/>
        </w:rPr>
        <w:tab/>
        <w:t xml:space="preserve">W niniejszym przedmiocie opracowania nie obowiązuje obmiar robót. Podstawą rozliczenia robót jest kwota ryczałtowa, określona na etapie przetargu, wynikająca ze STWiORB i przedmiaru robót. Kwota ryczałtowa jest ostateczną i nie podlegającą negocjacjom, a tym samym zmianom Dlatego też Wykonawca na etapie składania oferty winien uwzględnić koszty bezpośrednie związane z realizacją robót i wkalkulować w cenę ryczałtową koszty pozostałe, a tym samym niezbędne do prawidłowej realizacji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0" w:name="__RefHeading___Toc536_2645473935"/>
      <w:bookmarkEnd w:id="10"/>
      <w:r>
        <w:rPr/>
        <w:t>ODBIÓR ROBÓT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8.1. Ogólne zasady odbioru robót</w:t>
      </w:r>
    </w:p>
    <w:p>
      <w:pPr>
        <w:pStyle w:val="Tretekstu"/>
        <w:rPr/>
      </w:pPr>
      <w:r>
        <w:rPr>
          <w:b w:val="false"/>
          <w:bCs w:val="false"/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odbioru robót podano w ST D-M-00.00.00 „Wymagania ogólne” pkt 8.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8.1. </w:t>
      </w:r>
      <w:r>
        <w:rPr>
          <w:b/>
          <w:bCs/>
          <w:strike w:val="false"/>
          <w:dstrike w:val="false"/>
          <w:sz w:val="22"/>
          <w:szCs w:val="22"/>
          <w:u w:val="none"/>
        </w:rPr>
        <w:t>Kontrola i badania przy odbiorze</w:t>
      </w:r>
    </w:p>
    <w:p>
      <w:pPr>
        <w:pStyle w:val="Tretekstu"/>
        <w:rPr/>
      </w:pPr>
      <w:r>
        <w:rPr/>
        <w:tab/>
        <w:t>Według punktu 6.2 niniejszej STWiORB.</w:t>
      </w:r>
    </w:p>
    <w:p>
      <w:pPr>
        <w:pStyle w:val="Nagwek1"/>
        <w:ind w:left="57" w:right="0" w:hanging="0"/>
        <w:rPr>
          <w:b/>
          <w:b/>
          <w:bCs/>
        </w:rPr>
      </w:pPr>
      <w:bookmarkStart w:id="11" w:name="__RefHeading___Toc538_2645473935"/>
      <w:bookmarkEnd w:id="11"/>
      <w:r>
        <w:rPr/>
        <w:t>PODSTAWA PŁATNOŚCI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9.1. </w:t>
      </w:r>
      <w:r>
        <w:rPr>
          <w:b/>
          <w:strike w:val="false"/>
          <w:dstrike w:val="false"/>
          <w:sz w:val="23"/>
          <w:szCs w:val="24"/>
        </w:rPr>
        <w:t>Og</w:t>
      </w:r>
      <w:r>
        <w:rPr>
          <w:b/>
          <w:sz w:val="23"/>
        </w:rPr>
        <w:t xml:space="preserve">ólne ustalenia dotyczące podstawy płatności </w:t>
      </w:r>
    </w:p>
    <w:p>
      <w:pPr>
        <w:pStyle w:val="Tretekstu"/>
        <w:rPr/>
      </w:pPr>
      <w:r>
        <w:rPr/>
        <w:tab/>
        <w:t xml:space="preserve">Ogólne ustalenia dotyczące podstawy płatności podano w ST D-M-00.00.00 „Wymagania ogólne” pkt 9. </w:t>
      </w:r>
    </w:p>
    <w:p>
      <w:pPr>
        <w:pStyle w:val="Tretekstu"/>
        <w:rPr/>
      </w:pPr>
      <w:r>
        <w:rPr/>
        <w:tab/>
        <w:t xml:space="preserve">Podstawą płatności robót budowlanych jest ryczałt, skalkulowany przez Wykonawcę na podstawie Specyfikacji Technicznej oraz wizji lokalnej – na etapie przygotowania oferty. Ryczałt uwzględnia wszystkie czynności, wymagania i badania składające się na prawidłowe wykonanie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2" w:name="__RefHeading___Toc540_2645473935"/>
      <w:bookmarkEnd w:id="12"/>
      <w:r>
        <w:rPr/>
        <w:t>PRZEPISY ZWIĄZANE</w:t>
      </w:r>
    </w:p>
    <w:p>
      <w:pPr>
        <w:pStyle w:val="Default"/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/>
          <w:bCs/>
          <w:color w:val="auto"/>
          <w:kern w:val="2"/>
          <w:sz w:val="24"/>
          <w:szCs w:val="24"/>
          <w:lang w:val="pl-PL" w:eastAsia="zh-CN" w:bidi="hi-IN"/>
        </w:rPr>
        <w:t>10</w:t>
      </w:r>
      <w:r>
        <w:rPr>
          <w:rFonts w:eastAsia="NSimSun" w:cs="Lucida Sans" w:ascii="Liberation Serif" w:hAnsi="Liberation Serif"/>
          <w:b/>
          <w:bCs/>
          <w:strike w:val="false"/>
          <w:dstrike w:val="false"/>
          <w:color w:val="auto"/>
          <w:kern w:val="2"/>
          <w:sz w:val="23"/>
          <w:szCs w:val="24"/>
          <w:u w:val="none"/>
          <w:lang w:val="pl-PL" w:eastAsia="zh-CN" w:bidi="hi-IN"/>
        </w:rPr>
        <w:t>.1. Polskie Normy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PN-B-02479:1998 Geotechnika. Dokumentowanie geotechniczne. Zasady ogólne.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PN-86/B-02480 Grunty budowlane. Określenia, symbole, podział i opis gruntów.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PN-B-02481:1998 Geotechnika. Terminologia podstawowa, symbole literowe i jednostki miar.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PN-B-04452:2002 Geotechnika. Badania polowe.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PN-88/B-04481 Grunty budowlane. Badania próbek gruntu.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PN-55/B-04492 Grunty budowlane. Badanie właściwości fizycznych. Oznaczenie wskaźnika wodoprzepuszczalności.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PN-B-06050:1999 Geotechnika. Roboty ziemne. Wymagania ogólne.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PN-B-06721:1987 Kruszywa mineralne - Pobieranie próbek </w:t>
      </w:r>
    </w:p>
    <w:p>
      <w:pPr>
        <w:pStyle w:val="Default"/>
        <w:numPr>
          <w:ilvl w:val="0"/>
          <w:numId w:val="2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PN-S-02205:1998 Drogi samochodowe. Roboty ziemne. Wymagania i badania. </w:t>
      </w:r>
    </w:p>
    <w:p>
      <w:pPr>
        <w:pStyle w:val="Default"/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/>
          <w:bCs/>
          <w:color w:val="auto"/>
          <w:kern w:val="2"/>
          <w:sz w:val="23"/>
          <w:szCs w:val="24"/>
          <w:lang w:val="pl-PL" w:eastAsia="zh-CN" w:bidi="hi-IN"/>
        </w:rPr>
        <w:t>10</w:t>
      </w:r>
      <w:r>
        <w:rPr>
          <w:rFonts w:eastAsia="NSimSun" w:cs="Lucida Sans" w:ascii="Liberation Serif" w:hAnsi="Liberation Serif"/>
          <w:b/>
          <w:bCs/>
          <w:strike w:val="false"/>
          <w:dstrike w:val="false"/>
          <w:color w:val="auto"/>
          <w:kern w:val="2"/>
          <w:sz w:val="23"/>
          <w:szCs w:val="24"/>
          <w:u w:val="none"/>
          <w:lang w:val="pl-PL" w:eastAsia="zh-CN" w:bidi="hi-IN"/>
        </w:rPr>
        <w:t>.2. Polskie Normy – oparte na EN, ISO</w:t>
      </w:r>
    </w:p>
    <w:p>
      <w:pPr>
        <w:pStyle w:val="Default"/>
        <w:numPr>
          <w:ilvl w:val="0"/>
          <w:numId w:val="3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PN-EN 932-1:1999 Badanie podstawowych właściwości kruszyw. Część 1: Metody pobierania próbek. </w:t>
      </w:r>
    </w:p>
    <w:p>
      <w:pPr>
        <w:pStyle w:val="Default"/>
        <w:numPr>
          <w:ilvl w:val="0"/>
          <w:numId w:val="3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PN-EN 933-1:2000 Badania geometrycznych właściwości kruszyw. Oznaczanie składu ziarnowego. Metoda przesiewania. </w:t>
      </w:r>
    </w:p>
    <w:p>
      <w:pPr>
        <w:pStyle w:val="Default"/>
        <w:spacing w:lineRule="auto" w:line="276" w:before="57" w:after="164"/>
        <w:contextualSpacing/>
        <w:jc w:val="both"/>
        <w:rPr/>
      </w:pPr>
      <w:r>
        <w:rPr>
          <w:rFonts w:eastAsia="NSimSun" w:cs="Lucida Sans" w:ascii="Liberation Serif" w:hAnsi="Liberation Serif"/>
          <w:b/>
          <w:bCs/>
          <w:color w:val="auto"/>
          <w:kern w:val="2"/>
          <w:sz w:val="24"/>
          <w:szCs w:val="24"/>
          <w:lang w:val="pl-PL" w:eastAsia="zh-CN" w:bidi="hi-IN"/>
        </w:rPr>
        <w:t>10</w:t>
      </w:r>
      <w:r>
        <w:rPr>
          <w:rFonts w:eastAsia="NSimSun" w:cs="Lucida Sans" w:ascii="Liberation Serif" w:hAnsi="Liberation Serif"/>
          <w:b/>
          <w:bCs/>
          <w:strike w:val="false"/>
          <w:dstrike w:val="false"/>
          <w:color w:val="auto"/>
          <w:kern w:val="2"/>
          <w:sz w:val="23"/>
          <w:szCs w:val="24"/>
          <w:u w:val="none"/>
          <w:lang w:val="pl-PL" w:eastAsia="zh-CN" w:bidi="hi-IN"/>
        </w:rPr>
        <w:t>.3. Polskie Normy – wycofane lub zastąpione</w:t>
      </w:r>
    </w:p>
    <w:p>
      <w:pPr>
        <w:pStyle w:val="Default"/>
        <w:numPr>
          <w:ilvl w:val="0"/>
          <w:numId w:val="4"/>
        </w:numPr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 w:val="false"/>
          <w:b w:val="false"/>
          <w:bCs w:val="false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3"/>
          <w:szCs w:val="24"/>
          <w:lang w:val="pl-PL" w:eastAsia="zh-CN" w:bidi="hi-IN"/>
        </w:rPr>
        <w:t xml:space="preserve">PN-66/B-06714 Kruszywa mineralne. Kruszywa kamienne, budowlane. Badania techniczne. </w:t>
      </w:r>
    </w:p>
    <w:p>
      <w:pPr>
        <w:pStyle w:val="Default"/>
        <w:numPr>
          <w:ilvl w:val="0"/>
          <w:numId w:val="4"/>
        </w:numPr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 w:val="false"/>
          <w:b w:val="false"/>
          <w:bCs w:val="false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3"/>
          <w:szCs w:val="24"/>
          <w:lang w:val="pl-PL" w:eastAsia="zh-CN" w:bidi="hi-IN"/>
        </w:rPr>
        <w:t xml:space="preserve">PN-76/B-06714/00 Kruszywa mineralne. Badania. Postanowienia ogólne. </w:t>
      </w:r>
    </w:p>
    <w:p>
      <w:pPr>
        <w:pStyle w:val="Default"/>
        <w:numPr>
          <w:ilvl w:val="0"/>
          <w:numId w:val="4"/>
        </w:numPr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 w:val="false"/>
          <w:b w:val="false"/>
          <w:bCs w:val="false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3"/>
          <w:szCs w:val="24"/>
          <w:lang w:val="pl-PL" w:eastAsia="zh-CN" w:bidi="hi-IN"/>
        </w:rPr>
        <w:t xml:space="preserve">PN-91/B-06714/15 Kruszywa mineralne. Badania. Oznaczanie składu ziarnowego. </w:t>
      </w:r>
    </w:p>
    <w:p>
      <w:pPr>
        <w:pStyle w:val="Default"/>
        <w:numPr>
          <w:ilvl w:val="0"/>
          <w:numId w:val="4"/>
        </w:numPr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 w:val="false"/>
          <w:b w:val="false"/>
          <w:bCs w:val="false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3"/>
          <w:szCs w:val="24"/>
          <w:lang w:val="pl-PL" w:eastAsia="zh-CN" w:bidi="hi-IN"/>
        </w:rPr>
        <w:t xml:space="preserve">PN-B-11111: 1996 Kruszywo naturalne do nawierzchni drogowych; Żwir i mieszanka. </w:t>
      </w:r>
    </w:p>
    <w:p>
      <w:pPr>
        <w:pStyle w:val="Default"/>
        <w:numPr>
          <w:ilvl w:val="0"/>
          <w:numId w:val="4"/>
        </w:numPr>
        <w:spacing w:lineRule="auto" w:line="276" w:before="57" w:after="164"/>
        <w:contextualSpacing/>
        <w:jc w:val="both"/>
        <w:rPr>
          <w:rFonts w:ascii="Liberation Serif" w:hAnsi="Liberation Serif" w:eastAsia="NSimSun" w:cs="Lucida Sans"/>
          <w:b w:val="false"/>
          <w:b w:val="false"/>
          <w:bCs w:val="false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NSimSun" w:cs="Lucida Sans" w:ascii="Liberation Serif" w:hAnsi="Liberation Serif"/>
          <w:b w:val="false"/>
          <w:bCs w:val="false"/>
          <w:color w:val="auto"/>
          <w:kern w:val="2"/>
          <w:sz w:val="23"/>
          <w:szCs w:val="24"/>
          <w:lang w:val="pl-PL" w:eastAsia="zh-CN" w:bidi="hi-IN"/>
        </w:rPr>
        <w:t xml:space="preserve">PN-B-11113:1996 Kruszywo mineralne. Kruszywo naturalne do nawierzchni drogowych - Piasek. </w:t>
      </w:r>
    </w:p>
    <w:p>
      <w:pPr>
        <w:pStyle w:val="Default"/>
        <w:spacing w:lineRule="auto" w:line="276" w:before="57" w:after="164"/>
        <w:contextualSpacing/>
        <w:jc w:val="both"/>
        <w:rPr/>
      </w:pPr>
      <w:r>
        <w:rPr>
          <w:rFonts w:eastAsia="NSimSun" w:cs="Lucida Sans" w:ascii="Liberation Serif" w:hAnsi="Liberation Serif"/>
          <w:b/>
          <w:bCs/>
          <w:color w:val="auto"/>
          <w:kern w:val="2"/>
          <w:sz w:val="24"/>
          <w:szCs w:val="24"/>
          <w:lang w:val="pl-PL" w:eastAsia="zh-CN" w:bidi="hi-IN"/>
        </w:rPr>
        <w:t>10</w:t>
      </w:r>
      <w:r>
        <w:rPr>
          <w:rFonts w:eastAsia="NSimSun" w:cs="Lucida Sans" w:ascii="Liberation Serif" w:hAnsi="Liberation Serif"/>
          <w:b/>
          <w:bCs/>
          <w:strike w:val="false"/>
          <w:dstrike w:val="false"/>
          <w:color w:val="auto"/>
          <w:kern w:val="2"/>
          <w:sz w:val="23"/>
          <w:szCs w:val="24"/>
          <w:u w:val="none"/>
          <w:lang w:val="pl-PL" w:eastAsia="zh-CN" w:bidi="hi-IN"/>
        </w:rPr>
        <w:t>.4. Normy Branżowe</w:t>
      </w:r>
    </w:p>
    <w:p>
      <w:pPr>
        <w:pStyle w:val="Default"/>
        <w:numPr>
          <w:ilvl w:val="0"/>
          <w:numId w:val="5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BN-75/8931-03 Pobieranie próbek gruntów do celów drogowych. Rodzaje badań. </w:t>
      </w:r>
    </w:p>
    <w:p>
      <w:pPr>
        <w:pStyle w:val="Default"/>
        <w:numPr>
          <w:ilvl w:val="0"/>
          <w:numId w:val="5"/>
        </w:numPr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BN-77/8931-12 Oznaczenie wskaźnika zagęszczenia gruntu. </w:t>
      </w:r>
    </w:p>
    <w:p>
      <w:pPr>
        <w:pStyle w:val="Default"/>
        <w:spacing w:lineRule="auto" w:line="276" w:before="57" w:after="164"/>
        <w:contextualSpacing/>
        <w:jc w:val="both"/>
        <w:rPr/>
      </w:pPr>
      <w:r>
        <w:rPr>
          <w:rFonts w:eastAsia="NSimSun" w:cs="Lucida Sans" w:ascii="Liberation Serif" w:hAnsi="Liberation Serif"/>
          <w:b/>
          <w:bCs/>
          <w:color w:val="auto"/>
          <w:kern w:val="2"/>
          <w:sz w:val="24"/>
          <w:szCs w:val="24"/>
          <w:lang w:val="pl-PL" w:eastAsia="zh-CN" w:bidi="hi-IN"/>
        </w:rPr>
        <w:t>10</w:t>
      </w:r>
      <w:r>
        <w:rPr>
          <w:rFonts w:eastAsia="NSimSun" w:cs="Lucida Sans" w:ascii="Liberation Serif" w:hAnsi="Liberation Serif"/>
          <w:b/>
          <w:bCs/>
          <w:strike w:val="false"/>
          <w:dstrike w:val="false"/>
          <w:color w:val="auto"/>
          <w:kern w:val="2"/>
          <w:sz w:val="23"/>
          <w:szCs w:val="24"/>
          <w:u w:val="none"/>
          <w:lang w:val="pl-PL" w:eastAsia="zh-CN" w:bidi="hi-IN"/>
        </w:rPr>
        <w:t>.5. Pozostałe przepisy</w:t>
      </w:r>
    </w:p>
    <w:p>
      <w:pPr>
        <w:pStyle w:val="Default"/>
        <w:spacing w:lineRule="auto" w:line="276" w:before="57" w:after="164"/>
        <w:contextualSpacing/>
        <w:jc w:val="both"/>
        <w:rPr/>
      </w:pPr>
      <w:r>
        <w:rPr>
          <w:sz w:val="23"/>
        </w:rPr>
        <w:t xml:space="preserve">ROZPORZĄDZENIE MINISTRA TRANSPORTU I GOSPODARKI MORSKIEJ z dnia 30 maja 2000 r. w sprawie warunków technicznych, jakim powinny odpowiadać drogowe obiekty inżynierskie i ich usytuowanie. (Dz. U. Nr 63 poz. 735 - z dnia 3.08 2000 r.)  </w:t>
      </w:r>
    </w:p>
    <w:sectPr>
      <w:footerReference w:type="default" r:id="rId2"/>
      <w:footerReference w:type="first" r:id="rId3"/>
      <w:type w:val="nextPage"/>
      <w:pgSz w:w="11906" w:h="16838"/>
      <w:pgMar w:left="1134" w:right="1134" w:gutter="0" w:header="0" w:top="1134" w:footer="1134" w:bottom="2050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ST – M.11.01.04</w:t>
    </w:r>
  </w:p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7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uppressLineNumbers/>
      <w:spacing w:before="57" w:after="57"/>
      <w:contextualSpacing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pStyle w:val="Nagwek2"/>
      <w:numFmt w:val="decimal"/>
      <w:lvlText w:val="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pStyle w:val="Nagwek3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val="bestFit" w:percent="18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57" w:after="57"/>
      <w:contextualSpacing/>
      <w:jc w:val="both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113" w:after="57"/>
      <w:ind w:left="57" w:right="0" w:hanging="0"/>
      <w:contextualSpacing w:val="false"/>
      <w:jc w:val="left"/>
      <w:outlineLvl w:val="0"/>
    </w:pPr>
    <w:rPr>
      <w:b/>
      <w:bCs/>
      <w:sz w:val="24"/>
      <w:szCs w:val="24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tabs>
        <w:tab w:val="clear" w:pos="709"/>
      </w:tabs>
      <w:spacing w:before="200" w:after="120"/>
      <w:ind w:left="0" w:right="0" w:hanging="0"/>
      <w:outlineLvl w:val="1"/>
    </w:pPr>
    <w:rPr>
      <w:rFonts w:ascii="Liberation Serif" w:hAnsi="Liberation Serif"/>
      <w:b/>
      <w:bCs/>
      <w:sz w:val="24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4"/>
      <w:szCs w:val="2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zeindeksu">
    <w:name w:val="Łącze indeksu"/>
    <w:qFormat/>
    <w:rPr/>
  </w:style>
  <w:style w:type="character" w:styleId="WW8Num42z0">
    <w:name w:val="WW8Num42z0"/>
    <w:qFormat/>
    <w:rPr>
      <w:rFonts w:ascii="Symbol" w:hAnsi="Symbol" w:cs="Symbol"/>
    </w:rPr>
  </w:style>
  <w:style w:type="character" w:styleId="WW8Num44z0">
    <w:name w:val="WW8Num44z0"/>
    <w:qFormat/>
    <w:rPr>
      <w:rFonts w:ascii="Symbol" w:hAnsi="Symbol" w:cs="Symbol"/>
      <w:color w:val="000000"/>
      <w:sz w:val="16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22z0">
    <w:name w:val="WW8Num22z0"/>
    <w:qFormat/>
    <w:rPr/>
  </w:style>
  <w:style w:type="character" w:styleId="WW8Num24z0">
    <w:name w:val="WW8Num24z0"/>
    <w:qFormat/>
    <w:rPr/>
  </w:style>
  <w:style w:type="character" w:styleId="WW8NumSt8z0">
    <w:name w:val="WW8NumSt8z0"/>
    <w:qFormat/>
    <w:rPr>
      <w:rFonts w:ascii="Symbol" w:hAnsi="Symbol" w:cs="Symbol"/>
    </w:rPr>
  </w:style>
  <w:style w:type="character" w:styleId="WW8Num29z0">
    <w:name w:val="WW8Num29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  <w:contextualSpacing w:val="false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tabs>
        <w:tab w:val="clear" w:pos="709"/>
      </w:tabs>
      <w:spacing w:lineRule="auto" w:line="276" w:before="0" w:after="142"/>
      <w:ind w:left="0" w:right="0" w:hanging="0"/>
      <w:contextualSpacing/>
    </w:pPr>
    <w:rPr>
      <w:sz w:val="22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  <w:contextualSpacing w:val="false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agwekindeksu">
    <w:name w:val="Index Heading"/>
    <w:basedOn w:val="Nagwek"/>
    <w:pPr>
      <w:suppressLineNumbers/>
      <w:ind w:left="0" w:right="0" w:hanging="0"/>
    </w:pPr>
    <w:rPr>
      <w:b/>
      <w:bCs/>
      <w:sz w:val="32"/>
      <w:szCs w:val="32"/>
    </w:rPr>
  </w:style>
  <w:style w:type="paragraph" w:styleId="Nagwekspisutreci">
    <w:name w:val="TOC Heading"/>
    <w:basedOn w:val="Nagwekindeksu"/>
    <w:pPr>
      <w:suppressLineNumbers/>
      <w:ind w:left="0" w:right="0" w:hanging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pistreci2">
    <w:name w:val="TOC 2"/>
    <w:basedOn w:val="Indeks"/>
    <w:pPr>
      <w:tabs>
        <w:tab w:val="clear" w:pos="709"/>
        <w:tab w:val="right" w:pos="9355" w:leader="dot"/>
      </w:tabs>
      <w:ind w:left="283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  <w:style w:type="paragraph" w:styleId="Spistreci3">
    <w:name w:val="TOC 3"/>
    <w:basedOn w:val="Indeks"/>
    <w:pPr>
      <w:tabs>
        <w:tab w:val="clear" w:pos="709"/>
        <w:tab w:val="right" w:pos="9071" w:leader="dot"/>
      </w:tabs>
      <w:ind w:left="567" w:right="0" w:hanging="0"/>
    </w:pPr>
    <w:rPr/>
  </w:style>
  <w:style w:type="paragraph" w:styleId="Tekstost">
    <w:name w:val="tekst ost"/>
    <w:basedOn w:val="Normal"/>
    <w:qFormat/>
    <w:pPr>
      <w:widowControl/>
      <w:overflowPunct w:val="false"/>
      <w:spacing w:before="100" w:after="100"/>
      <w:contextualSpacing w:val="false"/>
      <w:textAlignment w:val="baseline"/>
    </w:pPr>
    <w:rPr>
      <w:sz w:val="20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paragraph" w:styleId="Tekstwstpniesformatowany">
    <w:name w:val="Tekst wstępnie sformatowany"/>
    <w:basedOn w:val="Normal"/>
    <w:qFormat/>
    <w:pPr>
      <w:spacing w:before="57" w:after="0"/>
      <w:contextualSpacing w:val="false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numbering" w:styleId="Numeracja123">
    <w:name w:val="Numeracja 123"/>
    <w:qFormat/>
  </w:style>
  <w:style w:type="numbering" w:styleId="NumeracjaABC">
    <w:name w:val="Numeracja ABC"/>
    <w:qFormat/>
  </w:style>
  <w:style w:type="numbering" w:styleId="WW8Num42">
    <w:name w:val="WW8Num42"/>
    <w:qFormat/>
  </w:style>
  <w:style w:type="numbering" w:styleId="WW8Num44">
    <w:name w:val="WW8Num44"/>
    <w:qFormat/>
  </w:style>
  <w:style w:type="numbering" w:styleId="WW8Num22">
    <w:name w:val="WW8Num22"/>
    <w:qFormat/>
  </w:style>
  <w:style w:type="numbering" w:styleId="WW8Num24">
    <w:name w:val="WW8Num24"/>
    <w:qFormat/>
  </w:style>
  <w:style w:type="numbering" w:styleId="WW8Num10">
    <w:name w:val="WW8Num10"/>
    <w:qFormat/>
  </w:style>
  <w:style w:type="numbering" w:styleId="WW8Num13">
    <w:name w:val="WW8Num13"/>
    <w:qFormat/>
  </w:style>
  <w:style w:type="numbering" w:styleId="WW8Num8">
    <w:name w:val="WW8Num8"/>
    <w:qFormat/>
  </w:style>
  <w:style w:type="numbering" w:styleId="WW8Num29">
    <w:name w:val="WW8Num29"/>
    <w:qFormat/>
  </w:style>
  <w:style w:type="numbering" w:styleId="WW8Num27">
    <w:name w:val="WW8Num27"/>
    <w:qFormat/>
  </w:style>
  <w:style w:type="numbering" w:styleId="WW8Num21">
    <w:name w:val="WW8Num21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6">
    <w:name w:val="WW8Num26"/>
    <w:qFormat/>
  </w:style>
  <w:style w:type="numbering" w:styleId="WW8Num7">
    <w:name w:val="WW8Num7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528</TotalTime>
  <Application>LibreOffice/7.3.2.2$Windows_X86_64 LibreOffice_project/49f2b1bff42cfccbd8f788c8dc32c1c309559be0</Application>
  <AppVersion>15.0000</AppVersion>
  <Pages>7</Pages>
  <Words>1277</Words>
  <Characters>8598</Characters>
  <CharactersWithSpaces>9829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2016-12-11T15:23:00Z</dcterms:created>
  <dc:creator>AxP</dc:creator>
  <dc:description/>
  <cp:keywords>specyfikacje drogi drogownictwo</cp:keywords>
  <dc:language>pl-PL</dc:language>
  <cp:lastModifiedBy/>
  <dcterms:modified xsi:type="dcterms:W3CDTF">2022-07-25T22:57:27Z</dcterms:modified>
  <cp:revision>161</cp:revision>
  <dc:subject>ost</dc:subject>
  <dc:title>GENERALNA DYREKCJA DRÓG PUBLICZNYCH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