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57" w:after="57"/>
        <w:contextualSpacing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jc w:val="center"/>
        <w:rPr/>
      </w:pPr>
      <w:r>
        <w:rPr/>
        <w:t xml:space="preserve"> </w:t>
      </w:r>
      <w:r>
        <w:rPr>
          <w:b/>
          <w:sz w:val="36"/>
        </w:rPr>
        <w:t xml:space="preserve">SPECYFIKACJA TECHNICZNA WYKONANIA </w:t>
      </w:r>
    </w:p>
    <w:p>
      <w:pPr>
        <w:pStyle w:val="Normal"/>
        <w:jc w:val="center"/>
        <w:rPr>
          <w:b/>
          <w:b/>
          <w:strike w:val="false"/>
          <w:dstrike w:val="false"/>
          <w:sz w:val="36"/>
          <w:u w:val="none"/>
        </w:rPr>
      </w:pPr>
      <w:r>
        <w:rPr>
          <w:b/>
          <w:strike w:val="false"/>
          <w:dstrike w:val="false"/>
          <w:sz w:val="36"/>
          <w:u w:val="none"/>
        </w:rPr>
        <w:t xml:space="preserve">I ODBIORU ROBÓT BUDOWLANYCH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Normal"/>
        <w:jc w:val="center"/>
        <w:rPr/>
      </w:pPr>
      <w:r>
        <w:rPr/>
        <w:t xml:space="preserve"> </w:t>
      </w:r>
      <w:r>
        <w:rPr>
          <w:b/>
          <w:sz w:val="36"/>
        </w:rPr>
        <w:t xml:space="preserve">D.01.03.02 </w:t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ZABEZPIECZENIE LINII KABLOWYCH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agwekspisutreci"/>
            <w:rPr/>
          </w:pPr>
          <w:r>
            <w:br w:type="page"/>
          </w:r>
          <w:r>
            <w:rPr/>
            <w:t>Spis treści</w:t>
          </w:r>
        </w:p>
        <w:p>
          <w:pPr>
            <w:pStyle w:val="Spistreci1"/>
            <w:rPr/>
          </w:pPr>
          <w:r>
            <w:fldChar w:fldCharType="begin"/>
          </w:r>
          <w:r>
            <w:rPr>
              <w:rStyle w:val="Czeindeksu"/>
            </w:rPr>
            <w:instrText xml:space="preserve"> TOC \f \o "1-9" \h</w:instrText>
          </w:r>
          <w:r>
            <w:rPr>
              <w:rStyle w:val="Czeindeksu"/>
            </w:rPr>
            <w:fldChar w:fldCharType="separate"/>
          </w:r>
          <w:hyperlink w:anchor="__RefHeading___Toc461_3993978502">
            <w:r>
              <w:rPr>
                <w:rStyle w:val="Czeindeksu"/>
              </w:rPr>
              <w:t>1. WSTĘP</w:t>
              <w:tab/>
              <w:t>3</w:t>
            </w:r>
          </w:hyperlink>
        </w:p>
        <w:p>
          <w:pPr>
            <w:pStyle w:val="Spistreci1"/>
            <w:rPr/>
          </w:pPr>
          <w:hyperlink w:anchor="__RefHeading___Toc1865_760393915">
            <w:r>
              <w:rPr>
                <w:rStyle w:val="Czeindeksu"/>
              </w:rPr>
              <w:t>2. MATERIAŁY</w:t>
              <w:tab/>
              <w:t>3</w:t>
            </w:r>
          </w:hyperlink>
        </w:p>
        <w:p>
          <w:pPr>
            <w:pStyle w:val="Spistreci1"/>
            <w:rPr/>
          </w:pPr>
          <w:hyperlink w:anchor="__RefHeading___Toc1867_760393915">
            <w:r>
              <w:rPr>
                <w:rStyle w:val="Czeindeksu"/>
              </w:rPr>
              <w:t>3. SPRZĘT.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69_760393915">
            <w:r>
              <w:rPr>
                <w:rStyle w:val="Czeindeksu"/>
              </w:rPr>
              <w:t>4. TRANSPORT: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71_760393915">
            <w:r>
              <w:rPr>
                <w:rStyle w:val="Czeindeksu"/>
              </w:rPr>
              <w:t>5. WYKONANIE ROBÓT:</w:t>
              <w:tab/>
              <w:t>4</w:t>
            </w:r>
          </w:hyperlink>
        </w:p>
        <w:p>
          <w:pPr>
            <w:pStyle w:val="Spistreci1"/>
            <w:rPr/>
          </w:pPr>
          <w:hyperlink w:anchor="__RefHeading___Toc1873_760393915">
            <w:r>
              <w:rPr>
                <w:rStyle w:val="Czeindeksu"/>
              </w:rPr>
              <w:t>6. KONTROLA JAKOŚCI ROBÓT:</w:t>
              <w:tab/>
              <w:t>5</w:t>
            </w:r>
          </w:hyperlink>
        </w:p>
        <w:p>
          <w:pPr>
            <w:pStyle w:val="Spistreci1"/>
            <w:rPr/>
          </w:pPr>
          <w:hyperlink w:anchor="__RefHeading___Toc1875_760393915">
            <w:r>
              <w:rPr>
                <w:rStyle w:val="Czeindeksu"/>
              </w:rPr>
              <w:t>7. OBMIAR ROBÓT:</w:t>
              <w:tab/>
              <w:t>5</w:t>
            </w:r>
          </w:hyperlink>
        </w:p>
        <w:p>
          <w:pPr>
            <w:pStyle w:val="Spistreci1"/>
            <w:rPr/>
          </w:pPr>
          <w:hyperlink w:anchor="__RefHeading___Toc536_2645473935">
            <w:r>
              <w:rPr>
                <w:rStyle w:val="Czeindeksu"/>
              </w:rPr>
              <w:t>8. ODBIÓR ROBÓT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538_2645473935">
            <w:r>
              <w:rPr>
                <w:rStyle w:val="Czeindeksu"/>
              </w:rPr>
              <w:t>9. PODSTAWA PŁATNOŚCI</w:t>
              <w:tab/>
              <w:t>6</w:t>
            </w:r>
          </w:hyperlink>
        </w:p>
        <w:p>
          <w:pPr>
            <w:pStyle w:val="Spistreci1"/>
            <w:rPr/>
          </w:pPr>
          <w:hyperlink w:anchor="__RefHeading___Toc540_2645473935">
            <w:r>
              <w:rPr>
                <w:rStyle w:val="Czeindeksu"/>
              </w:rPr>
              <w:t>10. PRZEPISY ZWIĄZANE</w:t>
              <w:tab/>
              <w:t>6</w:t>
            </w:r>
          </w:hyperlink>
          <w:r>
            <w:rPr>
              <w:rStyle w:val="Czeindeksu"/>
            </w:rPr>
            <w:fldChar w:fldCharType="end"/>
          </w:r>
        </w:p>
      </w:sdtContent>
    </w:sdt>
    <w:p>
      <w:pPr>
        <w:pStyle w:val="Normal"/>
        <w:rPr>
          <w:b/>
          <w:b/>
          <w:bCs/>
        </w:rPr>
      </w:pPr>
      <w:r>
        <w:rPr>
          <w:b/>
          <w:bCs/>
        </w:rPr>
      </w:r>
      <w:r>
        <w:br w:type="page"/>
      </w:r>
    </w:p>
    <w:p>
      <w:pPr>
        <w:pStyle w:val="Nagwek1"/>
        <w:keepNext w:val="true"/>
        <w:spacing w:lineRule="auto" w:line="360" w:before="113" w:after="57"/>
        <w:ind w:left="0" w:right="-340" w:hanging="0"/>
        <w:jc w:val="left"/>
        <w:rPr/>
      </w:pPr>
      <w:bookmarkStart w:id="0" w:name="__RefHeading___Toc461_3993978502"/>
      <w:bookmarkEnd w:id="0"/>
      <w:r>
        <w:rPr/>
        <w:t>WSTĘP</w:t>
      </w:r>
    </w:p>
    <w:p>
      <w:pPr>
        <w:pStyle w:val="Normal"/>
        <w:rPr>
          <w:b/>
          <w:b/>
          <w:bCs/>
        </w:rPr>
      </w:pPr>
      <w:bookmarkStart w:id="1" w:name="__RefHeading___Toc463_3993978502"/>
      <w:bookmarkEnd w:id="1"/>
      <w:r>
        <w:rPr>
          <w:b/>
          <w:bCs/>
        </w:rPr>
        <w:t>1.1. Przedmiot STWiORB</w:t>
      </w:r>
    </w:p>
    <w:p>
      <w:pPr>
        <w:pStyle w:val="Tretekstu"/>
        <w:rPr/>
      </w:pPr>
      <w:r>
        <w:rPr>
          <w:sz w:val="23"/>
        </w:rPr>
        <w:tab/>
        <w:t xml:space="preserve">Przedmiotem niniejszej STWiORB są wymagania dotyczące wykonywania i odbioru robót rozbiórkowych i przygotowawczych w związku z rozbiórką kładki dla pieszych nad torami PKP linii Kutno-Piła (linia nr 18, w km 91,863) w Aleksandrowie Kujawskim , w sąsiedztwie przejazdu kolejowego w ul. Dworcowej </w:t>
      </w:r>
    </w:p>
    <w:p>
      <w:pPr>
        <w:pStyle w:val="Normal"/>
        <w:rPr>
          <w:b/>
          <w:b/>
          <w:bCs/>
        </w:rPr>
      </w:pPr>
      <w:bookmarkStart w:id="2" w:name="__RefHeading___Toc465_3993978502"/>
      <w:bookmarkEnd w:id="2"/>
      <w:r>
        <w:rPr>
          <w:b/>
          <w:bCs/>
        </w:rPr>
        <w:t>1.2. Zakres stosowania STWiORB</w:t>
      </w:r>
    </w:p>
    <w:p>
      <w:pPr>
        <w:pStyle w:val="Tretekstu"/>
        <w:rPr/>
      </w:pPr>
      <w:r>
        <w:rPr/>
        <w:tab/>
        <w:t xml:space="preserve">Specyfikacje Techniczne stanowią część Dokumentów Przetargowych i Kontraktowych i należy je stosować w zlecaniu i wykonaniu Robót opisanych w podpunkcie 1.1. </w:t>
      </w:r>
    </w:p>
    <w:p>
      <w:pPr>
        <w:pStyle w:val="Normal"/>
        <w:rPr/>
      </w:pPr>
      <w:bookmarkStart w:id="3" w:name="__RefHeading___Toc467_3993978502"/>
      <w:bookmarkEnd w:id="3"/>
      <w:r>
        <w:rPr>
          <w:b/>
          <w:bCs/>
          <w:szCs w:val="24"/>
        </w:rPr>
        <w:t xml:space="preserve">1.3. </w:t>
      </w:r>
      <w:r>
        <w:rPr>
          <w:b/>
          <w:bCs/>
        </w:rPr>
        <w:t>Zakres robót objętych STWiORB</w:t>
      </w:r>
    </w:p>
    <w:p>
      <w:pPr>
        <w:pStyle w:val="Tretekstu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Ustalenia zawarte w niniejszej specyfikacji technicznej dotyczą prowadzenia robót przy zabezpieczeniu i przebudowie istniejących linii energetycznych i obejmują: </w:t>
      </w:r>
    </w:p>
    <w:p>
      <w:pPr>
        <w:pStyle w:val="Tretekstu"/>
        <w:numPr>
          <w:ilvl w:val="0"/>
          <w:numId w:val="2"/>
        </w:numPr>
        <w:ind w:left="720" w:right="0" w:hanging="360"/>
        <w:rPr>
          <w:b/>
          <w:b/>
          <w:bCs/>
        </w:rPr>
      </w:pPr>
      <w:r>
        <w:rPr>
          <w:b/>
          <w:bCs/>
          <w:strike w:val="false"/>
          <w:dstrike w:val="false"/>
          <w:color w:val="auto"/>
          <w:sz w:val="23"/>
          <w:szCs w:val="22"/>
          <w:u w:val="none"/>
        </w:rPr>
        <w:t xml:space="preserve">zabezpieczenie kabli energetycznych, kolejowych SRK, rur gazowych </w:t>
      </w:r>
    </w:p>
    <w:p>
      <w:pPr>
        <w:pStyle w:val="Tretekstu"/>
        <w:numPr>
          <w:ilvl w:val="1"/>
          <w:numId w:val="2"/>
        </w:numPr>
        <w:ind w:left="1080" w:right="0" w:hanging="360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wykonanie - wykopów liniowych szerokości do 0,6 m i głębokości do 1,0 m ręcznne ze złożeniem (i transportem) gruntu na odkład tymczasowy </w:t>
      </w:r>
    </w:p>
    <w:p>
      <w:pPr>
        <w:pStyle w:val="Tretekstu"/>
        <w:numPr>
          <w:ilvl w:val="1"/>
          <w:numId w:val="2"/>
        </w:numPr>
        <w:ind w:left="1080" w:right="0" w:hanging="360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demontaż przewodów z rur z tworzyw sztucznych o średnicy 160 mm </w:t>
      </w:r>
    </w:p>
    <w:p>
      <w:pPr>
        <w:pStyle w:val="Tretekstu"/>
        <w:numPr>
          <w:ilvl w:val="1"/>
          <w:numId w:val="2"/>
        </w:numPr>
        <w:ind w:left="1080" w:right="0" w:hanging="360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układanie w wykopie rur ochronnych dwudzielnych z HDPE (lub PCW), o średnicy 160 mm </w:t>
      </w:r>
    </w:p>
    <w:p>
      <w:pPr>
        <w:pStyle w:val="Tretekstu"/>
        <w:numPr>
          <w:ilvl w:val="1"/>
          <w:numId w:val="2"/>
        </w:numPr>
        <w:ind w:left="1080" w:right="0" w:hanging="360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zasypanie wykopów gruntem wraz z zagęszczeniem z transportem gruntu z dokopu Wykonawcy </w:t>
      </w:r>
    </w:p>
    <w:p>
      <w:pPr>
        <w:pStyle w:val="Tretekstu"/>
        <w:numPr>
          <w:ilvl w:val="0"/>
          <w:numId w:val="2"/>
        </w:numPr>
        <w:ind w:left="720" w:right="0" w:hanging="360"/>
        <w:rPr>
          <w:b/>
          <w:b/>
          <w:bCs/>
        </w:rPr>
      </w:pPr>
      <w:r>
        <w:rPr>
          <w:b/>
          <w:bCs/>
          <w:strike w:val="false"/>
          <w:dstrike w:val="false"/>
          <w:color w:val="auto"/>
          <w:sz w:val="23"/>
          <w:szCs w:val="22"/>
          <w:u w:val="none"/>
        </w:rPr>
        <w:t xml:space="preserve">zabezpieczenie innych urządzeń </w:t>
      </w:r>
    </w:p>
    <w:p>
      <w:pPr>
        <w:pStyle w:val="Tretekstu"/>
        <w:numPr>
          <w:ilvl w:val="1"/>
          <w:numId w:val="2"/>
        </w:numPr>
        <w:ind w:left="1080" w:right="0" w:hanging="360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ręczne wykopanie rowów dla kabli lub rur ochronnych szerokości 0,4 m i głębokości do 1,0 m ręcznie ze złożeniem gruntu na odkład tymczasowy - w celu lokalizacji podziemnego uzbrojenia terenu </w:t>
      </w:r>
    </w:p>
    <w:p>
      <w:pPr>
        <w:pStyle w:val="Tretekstu"/>
        <w:numPr>
          <w:ilvl w:val="1"/>
          <w:numId w:val="2"/>
        </w:numPr>
        <w:ind w:left="1080" w:right="0" w:hanging="360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ręczne zasypanie rowów dla kabli przy szerokości dna do 0,4 m i głębokości do 1,0 m gruntem z odkładu tymczasowego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4"/>
          <w:szCs w:val="24"/>
          <w:u w:val="none"/>
        </w:rPr>
      </w:pPr>
      <w:r>
        <w:rPr>
          <w:b/>
          <w:bCs/>
          <w:sz w:val="24"/>
          <w:szCs w:val="24"/>
          <w:u w:val="none"/>
        </w:rPr>
        <w:t>1.4. Określenia podstawowe</w:t>
      </w:r>
    </w:p>
    <w:p>
      <w:pPr>
        <w:pStyle w:val="Tretekstu"/>
        <w:widowControl/>
        <w:suppressAutoHyphens w:val="true"/>
        <w:overflowPunct w:val="true"/>
        <w:bidi w:val="0"/>
        <w:spacing w:lineRule="auto" w:line="276" w:before="0" w:after="142"/>
        <w:ind w:left="0" w:right="0" w:hanging="0"/>
        <w:contextualSpacing/>
        <w:jc w:val="both"/>
        <w:rPr>
          <w:rFonts w:ascii="Liberation Serif" w:hAnsi="Liberation Serif" w:eastAsia="NSimSun" w:cs="Lucida Sans"/>
          <w:b w:val="false"/>
          <w:b w:val="false"/>
          <w:bCs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</w:pPr>
      <w:r>
        <w:rPr>
          <w:rFonts w:eastAsia="NSimSun" w:cs="Lucida Sans"/>
          <w:b w:val="false"/>
          <w:bCs/>
          <w:i w:val="false"/>
          <w:iCs w:val="false"/>
          <w:strike w:val="false"/>
          <w:dstrike w:val="false"/>
          <w:color w:val="auto"/>
          <w:kern w:val="2"/>
          <w:sz w:val="23"/>
          <w:szCs w:val="22"/>
          <w:u w:val="none"/>
          <w:lang w:val="pl-PL" w:eastAsia="zh-CN" w:bidi="hi-IN"/>
        </w:rPr>
        <w:tab/>
        <w:t xml:space="preserve">Określenia podane w niniejszej STWiORB są zgodne z obowiązującymi odpowiednimi normami i STWiORB DM.00.00.00 "Wymagania ogólne". 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z w:val="23"/>
          <w:szCs w:val="24"/>
          <w:u w:val="none"/>
        </w:rPr>
        <w:t>1.5. Ogólne wymagania dotyczące robót</w:t>
      </w:r>
    </w:p>
    <w:p>
      <w:pPr>
        <w:pStyle w:val="Normal"/>
        <w:spacing w:before="57" w:after="57"/>
        <w:contextualSpacing/>
        <w:rPr>
          <w:b w:val="false"/>
          <w:b w:val="false"/>
          <w:bCs/>
          <w:strike w:val="false"/>
          <w:dstrike w:val="false"/>
          <w:sz w:val="23"/>
          <w:szCs w:val="22"/>
          <w:u w:val="none"/>
        </w:rPr>
      </w:pPr>
      <w:r>
        <w:rPr>
          <w:b w:val="false"/>
          <w:bCs/>
          <w:strike w:val="false"/>
          <w:dstrike w:val="false"/>
          <w:sz w:val="23"/>
          <w:szCs w:val="22"/>
          <w:u w:val="none"/>
        </w:rPr>
        <w:tab/>
        <w:t xml:space="preserve">Wykonawca robót jest odpowiedzialny za jakość ich wykonania oraz za zgodność z Dokumentacją Projektową, STWiORB i poleceniami Inspektora Nadzoru. Ogólne wymagania dotyczące robót podano w STWiORB DM.00.00.00 „Wymagania ogólne” pkt 1.5. </w:t>
      </w:r>
    </w:p>
    <w:p>
      <w:pPr>
        <w:pStyle w:val="Nagwek1"/>
        <w:ind w:left="57" w:right="0" w:hanging="0"/>
        <w:rPr/>
      </w:pPr>
      <w:bookmarkStart w:id="4" w:name="__RefHeading___Toc1865_760393915"/>
      <w:bookmarkEnd w:id="4"/>
      <w:r>
        <w:rPr/>
        <w:t>MATERIAŁY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2.1. Ogólne wymagania dotyczące materiałów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materiałów, ich pozyskiwania i składowania podano w STWiORB DM.00.00.00 „Wymagania ogólne” pkt 2. </w:t>
      </w:r>
      <w:r>
        <w:rPr>
          <w:b w:val="false"/>
          <w:bCs w:val="false"/>
          <w:strike w:val="false"/>
          <w:dstrike w:val="false"/>
          <w:color w:val="auto"/>
          <w:sz w:val="23"/>
          <w:szCs w:val="22"/>
          <w:u w:val="none"/>
        </w:rPr>
        <w:t xml:space="preserve">Sposób zagospodarowania materiałów z rozbiórki opisano w STWiORB DM.00.00.00 „Wymagania ogólne” pkt 2.4.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color w:val="auto"/>
          <w:sz w:val="23"/>
          <w:szCs w:val="24"/>
          <w:u w:val="none"/>
        </w:rPr>
        <w:t>2.2. Rodzaje materiałów</w:t>
      </w:r>
    </w:p>
    <w:p>
      <w:pPr>
        <w:pStyle w:val="Default"/>
        <w:spacing w:lineRule="auto" w:line="360" w:before="57" w:after="57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ab/>
        <w:t xml:space="preserve">Materiałami stosowanymi przy zabezpieczeniu i przebudowie kablowej linii energetycznej są: </w:t>
      </w:r>
    </w:p>
    <w:p>
      <w:pPr>
        <w:pStyle w:val="Default"/>
        <w:numPr>
          <w:ilvl w:val="0"/>
          <w:numId w:val="3"/>
        </w:numPr>
        <w:spacing w:lineRule="auto" w:line="360" w:before="57" w:after="57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Rury dwudzielne  160 mm (PS – 160) – wykonane z HDPE lub PCV grubościennych </w:t>
      </w:r>
    </w:p>
    <w:p>
      <w:pPr>
        <w:pStyle w:val="Default"/>
        <w:numPr>
          <w:ilvl w:val="0"/>
          <w:numId w:val="4"/>
        </w:numPr>
        <w:spacing w:lineRule="auto" w:line="360" w:before="57" w:after="57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2.3. Folia kalandrowana, uplastyczniona PCV koloru niebieskiego i czerwonego o grubości 0,4÷0,6 mm wg BN-68/6353-03, stosowana jako ochrona kabli ziemnych przed uszkodzeniami mechanicznymi. 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5" w:name="__RefHeading___Toc1867_760393915"/>
      <w:bookmarkEnd w:id="5"/>
      <w:r>
        <w:rPr/>
        <w:t>SPRZĘT.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3.1. Ogólne wymagania dotyczące sprzętu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sprzętu podano w STWiORB DM.00.00.00 „Wymagania ogólne” pkt 3.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3.2. Sprzęt </w:t>
      </w:r>
      <w:r>
        <w:rPr>
          <w:b/>
          <w:bCs/>
          <w:strike w:val="false"/>
          <w:dstrike w:val="false"/>
          <w:sz w:val="22"/>
          <w:szCs w:val="22"/>
          <w:u w:val="none"/>
        </w:rPr>
        <w:t xml:space="preserve">wykorzystywany do robót </w:t>
      </w:r>
    </w:p>
    <w:p>
      <w:pPr>
        <w:pStyle w:val="Tretekstu"/>
        <w:jc w:val="both"/>
        <w:rPr/>
      </w:pPr>
      <w:r>
        <w:rPr>
          <w:sz w:val="23"/>
        </w:rPr>
        <w:tab/>
        <w:t xml:space="preserve">Sprzęt użyty przez Wykonawcę przy ww. robotach powinien być odpowiednio dobrany i uzyskać akceptację Inżyniera, aby nie spowodował uszczerbku na jakości wykonywanych robot, jak i czynności pomocniczych, załadunku i rozładunku, a także transportu. </w:t>
      </w:r>
    </w:p>
    <w:p>
      <w:pPr>
        <w:pStyle w:val="Tretekstu"/>
        <w:jc w:val="both"/>
        <w:rPr/>
      </w:pPr>
      <w:r>
        <w:rPr>
          <w:sz w:val="23"/>
        </w:rPr>
        <w:tab/>
        <w:t xml:space="preserve">Roboty ziemne wykonywać ręcznie.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6" w:name="__RefHeading___Toc1869_760393915"/>
      <w:bookmarkEnd w:id="6"/>
      <w:r>
        <w:rPr/>
        <w:t>TRANSPORT: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4.1. Ogólne wymagania dotyczące transportu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wymagania dotyczące transportu podano w STWiORB DM.00.00.00 „Wymagania ogólne” pkt 4. </w:t>
      </w:r>
    </w:p>
    <w:p>
      <w:pPr>
        <w:pStyle w:val="Default"/>
        <w:spacing w:lineRule="auto" w:line="360" w:before="57" w:after="57"/>
        <w:contextualSpacing/>
        <w:rPr>
          <w:color w:val="auto"/>
        </w:rPr>
      </w:pPr>
      <w:r>
        <w:rPr>
          <w:b/>
          <w:bCs/>
          <w:strike w:val="false"/>
          <w:dstrike w:val="false"/>
          <w:color w:val="auto"/>
          <w:sz w:val="23"/>
          <w:szCs w:val="24"/>
          <w:u w:val="none"/>
        </w:rPr>
        <w:t xml:space="preserve">4.2. Transport </w:t>
      </w:r>
      <w:r>
        <w:rPr>
          <w:b/>
          <w:bCs/>
          <w:strike w:val="false"/>
          <w:dstrike w:val="false"/>
          <w:color w:val="auto"/>
          <w:sz w:val="22"/>
          <w:szCs w:val="22"/>
          <w:u w:val="none"/>
        </w:rPr>
        <w:t>materiałów do wykonania robót</w:t>
      </w:r>
    </w:p>
    <w:p>
      <w:pPr>
        <w:pStyle w:val="Tretekstu"/>
        <w:rPr>
          <w:color w:val="auto"/>
        </w:rPr>
      </w:pPr>
      <w:r>
        <w:rPr>
          <w:strike w:val="false"/>
          <w:dstrike w:val="false"/>
          <w:color w:val="auto"/>
          <w:sz w:val="23"/>
          <w:szCs w:val="24"/>
        </w:rPr>
        <w:tab/>
        <w:t xml:space="preserve">Rury przewożone mogą być dowolnymi środkami transportu zabezpieczającymi przewożony materiał przed uszkodzeniem. </w:t>
      </w:r>
    </w:p>
    <w:p>
      <w:pPr>
        <w:pStyle w:val="Tretekstu"/>
        <w:rPr>
          <w:color w:val="auto"/>
        </w:rPr>
      </w:pPr>
      <w:r>
        <w:rPr>
          <w:strike w:val="false"/>
          <w:dstrike w:val="false"/>
          <w:color w:val="auto"/>
          <w:sz w:val="23"/>
          <w:szCs w:val="24"/>
        </w:rPr>
        <w:tab/>
        <w:t xml:space="preserve">Przewożone materiały należy zabezpieczyć podczas transportu przed możliwością przesuwania oraz przed uszkodzeniem w czasie transportu.  </w:t>
      </w:r>
    </w:p>
    <w:p>
      <w:pPr>
        <w:pStyle w:val="Tretekstu"/>
        <w:rPr>
          <w:color w:val="auto"/>
        </w:rPr>
      </w:pPr>
      <w:r>
        <w:rPr>
          <w:strike w:val="false"/>
          <w:dstrike w:val="false"/>
          <w:color w:val="auto"/>
          <w:sz w:val="23"/>
          <w:szCs w:val="24"/>
        </w:rPr>
        <w:tab/>
        <w:t xml:space="preserve">Przy transporcie materiałów przestrzegać bezwzględnie wymagań producenta.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7" w:name="__RefHeading___Toc1871_760393915"/>
      <w:bookmarkEnd w:id="7"/>
      <w:r>
        <w:rPr/>
        <w:t>WYKONANIE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5.1. Ogólne zasady wykonania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wykonania robót podano w STWiORB DM.00.00.00 „Wymagania ogólne” pkt 5.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5.2. </w:t>
      </w:r>
      <w:r>
        <w:rPr>
          <w:b/>
          <w:bCs/>
          <w:strike w:val="false"/>
          <w:dstrike w:val="false"/>
          <w:sz w:val="22"/>
          <w:szCs w:val="22"/>
          <w:u w:val="none"/>
        </w:rPr>
        <w:t>Zakres wykonywanych robót</w:t>
      </w:r>
    </w:p>
    <w:p>
      <w:pPr>
        <w:pStyle w:val="Tretekstu"/>
        <w:rPr/>
      </w:pPr>
      <w:r>
        <w:rPr>
          <w:sz w:val="23"/>
        </w:rPr>
        <w:tab/>
        <w:t>Roboty należy wykonywać zgodnie z Dokumentacją Projektową, normami oraz przepisami budowy, bezpieczeństwa i higieny pracy.</w:t>
      </w:r>
    </w:p>
    <w:p>
      <w:pPr>
        <w:pStyle w:val="Tretekstu"/>
        <w:rPr/>
      </w:pPr>
      <w:r>
        <w:rPr>
          <w:sz w:val="23"/>
        </w:rPr>
        <w:tab/>
        <w:t xml:space="preserve">Przed przystąpieniem do robót, Wykonawca zwróci się z wyprzedzeniem do zainteresowanych Instytucji, w celu uzyskania zezwolenia na prowadzenie prac i otrzymanie nadzoru technicznego. </w:t>
      </w:r>
    </w:p>
    <w:p>
      <w:pPr>
        <w:pStyle w:val="Tretekstu"/>
        <w:rPr/>
      </w:pPr>
      <w:r>
        <w:rPr>
          <w:sz w:val="23"/>
        </w:rPr>
        <w:tab/>
        <w:t xml:space="preserve">Wykonawca zabezpieczy i oznakuje teren, zgodnie z Instrukcją o prowadzeniu robót przy drogach publicznych. Roboty ziemne prowadzić ręcznie pod nadzorem Administratora urządzeń. </w:t>
      </w:r>
    </w:p>
    <w:p>
      <w:pPr>
        <w:pStyle w:val="Tretekstu"/>
        <w:rPr/>
      </w:pPr>
      <w:r>
        <w:rPr>
          <w:sz w:val="23"/>
        </w:rPr>
        <w:tab/>
        <w:t xml:space="preserve">Przebieg istniejących linii kablowych opiera się na planach geodezyjnych, dlatego dokładny przebieg tych linii należy określić na podstawie próbnych przekopów.  </w:t>
      </w:r>
    </w:p>
    <w:p>
      <w:pPr>
        <w:pStyle w:val="Tretekstu"/>
        <w:rPr/>
      </w:pPr>
      <w:r>
        <w:rPr>
          <w:sz w:val="23"/>
        </w:rPr>
        <w:t xml:space="preserve">Przed przystąpieniem do robót należy określić lokalizację kabli i studzienek, wykonując liniowe przekopy próbne. </w:t>
      </w:r>
    </w:p>
    <w:p>
      <w:pPr>
        <w:pStyle w:val="Tretekstu"/>
        <w:rPr/>
      </w:pPr>
      <w:r>
        <w:rPr>
          <w:sz w:val="23"/>
        </w:rPr>
        <w:t xml:space="preserve">Istniejące kable po wykopaniu zabezpieczyć rurą ochronną dwudzielną o średnicy 110÷160 mm. Po ułożeniu rury kable zasypać gruntem sypkim. </w:t>
      </w:r>
    </w:p>
    <w:p>
      <w:pPr>
        <w:pStyle w:val="Tretekstu"/>
        <w:rPr/>
      </w:pPr>
      <w:r>
        <w:rPr>
          <w:sz w:val="23"/>
        </w:rPr>
        <w:t xml:space="preserve">Wykonane roboty muszą być prowadzone pod nadzorem, a po wykonaniu odebrane przez przedstawiciela Administratora sieci energetycznej.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5.3. </w:t>
      </w:r>
      <w:r>
        <w:rPr>
          <w:b/>
          <w:bCs/>
          <w:strike w:val="false"/>
          <w:dstrike w:val="false"/>
          <w:sz w:val="22"/>
          <w:szCs w:val="22"/>
          <w:u w:val="none"/>
        </w:rPr>
        <w:t>Kolejność prowadzonych robót</w:t>
      </w:r>
    </w:p>
    <w:p>
      <w:pPr>
        <w:pStyle w:val="Default"/>
        <w:numPr>
          <w:ilvl w:val="0"/>
          <w:numId w:val="5"/>
        </w:numPr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wykonanie wykopów – przekopów próbnych, </w:t>
      </w:r>
    </w:p>
    <w:p>
      <w:pPr>
        <w:pStyle w:val="Default"/>
        <w:numPr>
          <w:ilvl w:val="0"/>
          <w:numId w:val="5"/>
        </w:numPr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wykonanie wykopów - rowów kablowych, </w:t>
      </w:r>
    </w:p>
    <w:p>
      <w:pPr>
        <w:pStyle w:val="Default"/>
        <w:numPr>
          <w:ilvl w:val="0"/>
          <w:numId w:val="5"/>
        </w:numPr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wykopanie istniejących kabli w celu ułożenia w przepustach kablowych </w:t>
      </w:r>
    </w:p>
    <w:p>
      <w:pPr>
        <w:pStyle w:val="Default"/>
        <w:numPr>
          <w:ilvl w:val="0"/>
          <w:numId w:val="6"/>
        </w:numPr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montaż przepustów kablowych dwudzielnych w wykopie otwartym, </w:t>
      </w:r>
    </w:p>
    <w:p>
      <w:pPr>
        <w:pStyle w:val="Default"/>
        <w:numPr>
          <w:ilvl w:val="0"/>
          <w:numId w:val="6"/>
        </w:numPr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wykonanie podsypki piaskowej, </w:t>
      </w:r>
    </w:p>
    <w:p>
      <w:pPr>
        <w:pStyle w:val="Default"/>
        <w:numPr>
          <w:ilvl w:val="0"/>
          <w:numId w:val="6"/>
        </w:numPr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układanie kabli NN lub SN w przepustach kablowych dwudzielnych, </w:t>
      </w:r>
    </w:p>
    <w:p>
      <w:pPr>
        <w:pStyle w:val="Default"/>
        <w:numPr>
          <w:ilvl w:val="0"/>
          <w:numId w:val="6"/>
        </w:numPr>
        <w:spacing w:lineRule="auto" w:line="360" w:before="57" w:after="57"/>
        <w:contextualSpacing/>
        <w:jc w:val="both"/>
        <w:rPr/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zabezpieczenie lub odsunięcie (ewentualnie) przełożenie pozostałych liniowych urządzeń obcych, </w:t>
      </w:r>
    </w:p>
    <w:p>
      <w:pPr>
        <w:pStyle w:val="Default"/>
        <w:numPr>
          <w:ilvl w:val="0"/>
          <w:numId w:val="6"/>
        </w:numPr>
        <w:spacing w:lineRule="auto" w:line="360" w:before="57" w:after="57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trike w:val="false"/>
          <w:dstrike w:val="false"/>
          <w:sz w:val="23"/>
          <w:szCs w:val="24"/>
          <w:u w:val="none"/>
        </w:rPr>
        <w:t xml:space="preserve">zasypanie wykopów - rowów kablowych,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8" w:name="__RefHeading___Toc1873_760393915"/>
      <w:bookmarkEnd w:id="8"/>
      <w:r>
        <w:rPr/>
        <w:t>KONTROLA JAKOŚCI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6.1. Ogólne zasady kontroli jakości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kontroli jakości robót podano w STWiORB DM.00.00.00 „Wymagania ogólne” pkt 6.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6.2. </w:t>
      </w:r>
      <w:r>
        <w:rPr>
          <w:b/>
          <w:bCs/>
          <w:strike w:val="false"/>
          <w:dstrike w:val="false"/>
          <w:sz w:val="22"/>
          <w:szCs w:val="22"/>
          <w:u w:val="none"/>
        </w:rPr>
        <w:t>Kontrola i badanie w trakcie robót</w:t>
      </w:r>
    </w:p>
    <w:p>
      <w:pPr>
        <w:pStyle w:val="Tretekstu"/>
        <w:numPr>
          <w:ilvl w:val="0"/>
          <w:numId w:val="7"/>
        </w:numPr>
        <w:ind w:left="720" w:right="0" w:hanging="360"/>
        <w:rPr/>
      </w:pPr>
      <w:r>
        <w:rPr>
          <w:strike w:val="false"/>
          <w:dstrike w:val="false"/>
          <w:sz w:val="23"/>
          <w:szCs w:val="24"/>
        </w:rPr>
        <w:t>sprawdzenie przepustów kablowych, przed zasypaniem,</w:t>
      </w:r>
    </w:p>
    <w:p>
      <w:pPr>
        <w:pStyle w:val="Tretekstu"/>
        <w:numPr>
          <w:ilvl w:val="0"/>
          <w:numId w:val="7"/>
        </w:numPr>
        <w:ind w:left="720" w:right="0" w:hanging="360"/>
        <w:rPr/>
      </w:pPr>
      <w:r>
        <w:rPr>
          <w:strike w:val="false"/>
          <w:dstrike w:val="false"/>
          <w:sz w:val="23"/>
          <w:szCs w:val="24"/>
        </w:rPr>
        <w:t>pomiary geodezyjne przed zasypaniem.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 xml:space="preserve">Urządzenia elektryczne oraz kable elektroenergetyczne powinny posiadać atest fabryczny lub świadectwo jakości wydane przez producenta. </w:t>
      </w:r>
    </w:p>
    <w:p>
      <w:pPr>
        <w:pStyle w:val="Nagwek1"/>
        <w:keepNext w:val="true"/>
        <w:spacing w:lineRule="auto" w:line="360" w:before="113" w:after="57"/>
        <w:ind w:left="0" w:right="0" w:hanging="0"/>
        <w:jc w:val="left"/>
        <w:rPr/>
      </w:pPr>
      <w:bookmarkStart w:id="9" w:name="__RefHeading___Toc1875_760393915"/>
      <w:bookmarkEnd w:id="9"/>
      <w:r>
        <w:rPr/>
        <w:t>OBMIAR ROBÓT: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7.1. Ogólne zasady obmiaru robót</w:t>
      </w:r>
    </w:p>
    <w:p>
      <w:pPr>
        <w:pStyle w:val="Tretekstu"/>
        <w:rPr/>
      </w:pPr>
      <w:r>
        <w:rPr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obmiaru robót podano w ST D-M-00.00.00 „Wymagania ogólne” pkt 7. </w:t>
      </w:r>
    </w:p>
    <w:p>
      <w:pPr>
        <w:pStyle w:val="Tretekstu"/>
        <w:rPr/>
      </w:pPr>
      <w:r>
        <w:rPr>
          <w:sz w:val="23"/>
        </w:rPr>
        <w:tab/>
        <w:t xml:space="preserve">W niniejszym przedmiocie opracowania nie obowiązuje obmiar robót. Podstawą rozliczenia robót jest kwota ryczałtowa, określona na etapie przetargu, wynikająca ze STWiORB i przedmiaru robót. Kwota ryczałtowa jest ostateczną i nie podlegającą negocjacjom, a tym samym zmianom Dlatego też Wykonawca na etapie składania oferty winien uwzględnić koszty bezpośrednie związane z realizacją robót i wkalkulować w cenę ryczałtową koszty pozostałe, a tym samym niezbędne do prawidłowej realizacji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0" w:name="__RefHeading___Toc536_2645473935"/>
      <w:bookmarkEnd w:id="10"/>
      <w:r>
        <w:rPr/>
        <w:t>ODBIÓR ROBÓT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8.1. Ogólne zasady odbioru robót</w:t>
      </w:r>
    </w:p>
    <w:p>
      <w:pPr>
        <w:pStyle w:val="Tretekstu"/>
        <w:rPr/>
      </w:pPr>
      <w:r>
        <w:rPr>
          <w:b w:val="false"/>
          <w:bCs w:val="false"/>
          <w:strike w:val="false"/>
          <w:dstrike w:val="false"/>
          <w:sz w:val="23"/>
          <w:szCs w:val="24"/>
        </w:rPr>
        <w:tab/>
        <w:t>Og</w:t>
      </w:r>
      <w:r>
        <w:rPr>
          <w:sz w:val="23"/>
        </w:rPr>
        <w:t xml:space="preserve">ólne zasady odbioru robót podano w ST D-M-00.00.00 „Wymagania ogólne” pkt 8. </w:t>
      </w:r>
    </w:p>
    <w:p>
      <w:pPr>
        <w:pStyle w:val="Default"/>
        <w:spacing w:lineRule="auto" w:line="360" w:before="57" w:after="57"/>
        <w:contextualSpacing/>
        <w:rPr>
          <w:b/>
          <w:b/>
          <w:bCs/>
          <w:sz w:val="22"/>
          <w:szCs w:val="22"/>
          <w:u w:val="none"/>
        </w:rPr>
      </w:pPr>
      <w:r>
        <w:rPr>
          <w:b/>
          <w:bCs/>
          <w:strike w:val="false"/>
          <w:dstrike w:val="false"/>
          <w:sz w:val="23"/>
          <w:szCs w:val="24"/>
          <w:u w:val="none"/>
        </w:rPr>
        <w:t>8.1. Wymagane dokumenty</w:t>
      </w:r>
    </w:p>
    <w:p>
      <w:pPr>
        <w:pStyle w:val="Tretekstu"/>
        <w:rPr/>
      </w:pPr>
      <w:r>
        <w:rPr/>
        <w:tab/>
        <w:t xml:space="preserve">Przy przekazywaniu obiektu do eksploatacji Wykonawca zobowiązany jest dostarczyć </w:t>
      </w:r>
    </w:p>
    <w:p>
      <w:pPr>
        <w:pStyle w:val="Tretekstu"/>
        <w:rPr/>
      </w:pPr>
      <w:r>
        <w:rPr/>
        <w:t xml:space="preserve">Zamawiającemu następujące dokumenty: </w:t>
      </w:r>
    </w:p>
    <w:p>
      <w:pPr>
        <w:pStyle w:val="Tretekstu"/>
        <w:numPr>
          <w:ilvl w:val="0"/>
          <w:numId w:val="8"/>
        </w:numPr>
        <w:ind w:left="720" w:right="0" w:hanging="360"/>
        <w:rPr/>
      </w:pPr>
      <w:r>
        <w:rPr/>
        <w:t xml:space="preserve">dokumentację Projektową z naniesionymi poprawkami powykonawczymi, </w:t>
      </w:r>
    </w:p>
    <w:p>
      <w:pPr>
        <w:pStyle w:val="Tretekstu"/>
        <w:numPr>
          <w:ilvl w:val="0"/>
          <w:numId w:val="8"/>
        </w:numPr>
        <w:ind w:left="720" w:right="0" w:hanging="360"/>
        <w:rPr/>
      </w:pPr>
      <w:r>
        <w:rPr/>
        <w:t xml:space="preserve">geodezyjną dokumentację powykonawczą, </w:t>
      </w:r>
    </w:p>
    <w:p>
      <w:pPr>
        <w:pStyle w:val="Tretekstu"/>
        <w:numPr>
          <w:ilvl w:val="0"/>
          <w:numId w:val="8"/>
        </w:numPr>
        <w:ind w:left="720" w:right="0" w:hanging="360"/>
        <w:rPr/>
      </w:pPr>
      <w:r>
        <w:rPr/>
        <w:t xml:space="preserve">protokół odbioru robót zanikających podpisany przez Inżyniera, </w:t>
      </w:r>
    </w:p>
    <w:p>
      <w:pPr>
        <w:pStyle w:val="Tretekstu"/>
        <w:numPr>
          <w:ilvl w:val="0"/>
          <w:numId w:val="8"/>
        </w:numPr>
        <w:ind w:left="720" w:right="0" w:hanging="360"/>
        <w:rPr/>
      </w:pPr>
      <w:r>
        <w:rPr/>
        <w:t xml:space="preserve">oceny robót przez właścicieli przebudowywanych linii. </w:t>
      </w:r>
    </w:p>
    <w:p>
      <w:pPr>
        <w:pStyle w:val="Nagwek1"/>
        <w:ind w:left="57" w:right="0" w:hanging="0"/>
        <w:rPr>
          <w:b/>
          <w:b/>
          <w:bCs/>
        </w:rPr>
      </w:pPr>
      <w:bookmarkStart w:id="11" w:name="__RefHeading___Toc538_2645473935"/>
      <w:bookmarkEnd w:id="11"/>
      <w:r>
        <w:rPr/>
        <w:t>PODSTAWA PŁATNOŚCI</w:t>
      </w:r>
    </w:p>
    <w:p>
      <w:pPr>
        <w:pStyle w:val="Default"/>
        <w:spacing w:lineRule="auto" w:line="360" w:before="57" w:after="57"/>
        <w:contextualSpacing/>
        <w:rPr/>
      </w:pPr>
      <w:r>
        <w:rPr>
          <w:b/>
          <w:bCs/>
          <w:strike w:val="false"/>
          <w:dstrike w:val="false"/>
          <w:sz w:val="23"/>
          <w:szCs w:val="24"/>
          <w:u w:val="none"/>
        </w:rPr>
        <w:t xml:space="preserve">9.1. </w:t>
      </w:r>
      <w:r>
        <w:rPr>
          <w:b/>
          <w:strike w:val="false"/>
          <w:dstrike w:val="false"/>
          <w:sz w:val="23"/>
          <w:szCs w:val="24"/>
        </w:rPr>
        <w:t>Og</w:t>
      </w:r>
      <w:r>
        <w:rPr>
          <w:b/>
          <w:sz w:val="23"/>
        </w:rPr>
        <w:t xml:space="preserve">ólne ustalenia dotyczące podstawy płatności </w:t>
      </w:r>
    </w:p>
    <w:p>
      <w:pPr>
        <w:pStyle w:val="Tretekstu"/>
        <w:rPr/>
      </w:pPr>
      <w:r>
        <w:rPr/>
        <w:tab/>
        <w:t xml:space="preserve">Ogólne ustalenia dotyczące podstawy płatności podano w ST D-M-00.00.00 „Wymagania ogólne” pkt 9. </w:t>
      </w:r>
    </w:p>
    <w:p>
      <w:pPr>
        <w:pStyle w:val="Tretekstu"/>
        <w:rPr/>
      </w:pPr>
      <w:r>
        <w:rPr/>
        <w:tab/>
        <w:t xml:space="preserve">Podstawą płatności robót budowlanych jest ryczałt, skalkulowany przez Wykonawcę na podstawie Specyfikacji Technicznej oraz wizji lokalnej – na etapie przygotowania oferty. Ryczałt uwzględnia wszystkie czynności, wymagania i badania składające się na prawidłowe wykonanie przedmiotu zamówienia. </w:t>
      </w:r>
    </w:p>
    <w:p>
      <w:pPr>
        <w:pStyle w:val="Nagwek1"/>
        <w:ind w:left="57" w:right="0" w:hanging="0"/>
        <w:rPr>
          <w:b/>
          <w:b/>
          <w:bCs/>
        </w:rPr>
      </w:pPr>
      <w:bookmarkStart w:id="12" w:name="__RefHeading___Toc540_2645473935"/>
      <w:bookmarkEnd w:id="12"/>
      <w:r>
        <w:rPr/>
        <w:t>PRZEPISY ZWIĄZANE</w:t>
      </w:r>
    </w:p>
    <w:p>
      <w:pPr>
        <w:pStyle w:val="Default"/>
        <w:spacing w:before="57" w:after="164"/>
        <w:contextualSpacing/>
        <w:jc w:val="both"/>
        <w:rPr/>
      </w:pPr>
      <w:r>
        <w:rPr>
          <w:sz w:val="23"/>
        </w:rPr>
        <w:tab/>
        <w:t>Nie występują</w:t>
      </w:r>
    </w:p>
    <w:sectPr>
      <w:footerReference w:type="default" r:id="rId2"/>
      <w:footerReference w:type="first" r:id="rId3"/>
      <w:type w:val="nextPage"/>
      <w:pgSz w:w="11906" w:h="16838"/>
      <w:pgMar w:left="1134" w:right="1134" w:gutter="0" w:header="0" w:top="1134" w:footer="1134" w:bottom="2050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ST – D.01.03.02</w:t>
    </w:r>
  </w:p>
  <w:p>
    <w:pPr>
      <w:pStyle w:val="Stopka"/>
      <w:pBdr>
        <w:top w:val="single" w:sz="2" w:space="1" w:color="000000"/>
      </w:pBdr>
      <w:spacing w:lineRule="auto" w:line="240" w:before="57" w:after="57"/>
      <w:contextualSpacing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suppressLineNumbers/>
      <w:spacing w:before="57" w:after="57"/>
      <w:contextualSpacing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pStyle w:val="Nagwek2"/>
      <w:numFmt w:val="decimal"/>
      <w:lvlText w:val="%1.%2."/>
      <w:lvlJc w:val="left"/>
      <w:pPr>
        <w:tabs>
          <w:tab w:val="num" w:pos="1080"/>
        </w:tabs>
        <w:ind w:left="1080" w:hanging="360"/>
      </w:pPr>
      <w:rPr/>
    </w:lvl>
    <w:lvl w:ilvl="2">
      <w:start w:val="1"/>
      <w:pStyle w:val="Nagwek3"/>
      <w:numFmt w:val="lowerLetter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val="bestFit" w:percent="18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360" w:before="57" w:after="57"/>
      <w:contextualSpacing/>
      <w:jc w:val="both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pacing w:before="113" w:after="57"/>
      <w:ind w:left="57" w:right="0" w:hanging="0"/>
      <w:contextualSpacing w:val="false"/>
      <w:jc w:val="left"/>
      <w:outlineLvl w:val="0"/>
    </w:pPr>
    <w:rPr>
      <w:b/>
      <w:bCs/>
      <w:sz w:val="24"/>
      <w:szCs w:val="24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tabs>
        <w:tab w:val="clear" w:pos="709"/>
      </w:tabs>
      <w:spacing w:before="200" w:after="120"/>
      <w:ind w:left="0" w:right="0" w:hanging="0"/>
      <w:outlineLvl w:val="1"/>
    </w:pPr>
    <w:rPr>
      <w:rFonts w:ascii="Liberation Serif" w:hAnsi="Liberation Serif"/>
      <w:b/>
      <w:bCs/>
      <w:sz w:val="24"/>
      <w:szCs w:val="32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ind w:left="0" w:right="0" w:hanging="0"/>
      <w:outlineLvl w:val="2"/>
    </w:pPr>
    <w:rPr>
      <w:b/>
      <w:bCs/>
      <w:sz w:val="24"/>
      <w:szCs w:val="2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Czeindeksu">
    <w:name w:val="Łącze indeksu"/>
    <w:qFormat/>
    <w:rPr/>
  </w:style>
  <w:style w:type="character" w:styleId="WW8Num42z0">
    <w:name w:val="WW8Num42z0"/>
    <w:qFormat/>
    <w:rPr>
      <w:rFonts w:ascii="Symbol" w:hAnsi="Symbol" w:cs="Symbol"/>
    </w:rPr>
  </w:style>
  <w:style w:type="character" w:styleId="WW8Num44z0">
    <w:name w:val="WW8Num44z0"/>
    <w:qFormat/>
    <w:rPr>
      <w:rFonts w:ascii="Symbol" w:hAnsi="Symbol" w:cs="Symbol"/>
      <w:color w:val="000000"/>
      <w:sz w:val="16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22z0">
    <w:name w:val="WW8Num22z0"/>
    <w:qFormat/>
    <w:rPr/>
  </w:style>
  <w:style w:type="character" w:styleId="WW8Num24z0">
    <w:name w:val="WW8Num24z0"/>
    <w:qFormat/>
    <w:rPr/>
  </w:style>
  <w:style w:type="character" w:styleId="WW8NumSt8z0">
    <w:name w:val="WW8NumSt8z0"/>
    <w:qFormat/>
    <w:rPr>
      <w:rFonts w:ascii="Symbol" w:hAnsi="Symbol" w:cs="Symbol"/>
    </w:rPr>
  </w:style>
  <w:style w:type="character" w:styleId="WW8Num29z0">
    <w:name w:val="WW8Num29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  <w:contextualSpacing w:val="false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tabs>
        <w:tab w:val="clear" w:pos="709"/>
      </w:tabs>
      <w:spacing w:lineRule="auto" w:line="276" w:before="0" w:after="142"/>
      <w:ind w:left="0" w:right="0" w:hanging="0"/>
      <w:contextualSpacing/>
    </w:pPr>
    <w:rPr>
      <w:sz w:val="22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  <w:contextualSpacing w:val="false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agwekindeksu">
    <w:name w:val="Index Heading"/>
    <w:basedOn w:val="Nagwek"/>
    <w:pPr>
      <w:suppressLineNumbers/>
      <w:ind w:left="0" w:right="0" w:hanging="0"/>
    </w:pPr>
    <w:rPr>
      <w:b/>
      <w:bCs/>
      <w:sz w:val="32"/>
      <w:szCs w:val="32"/>
    </w:rPr>
  </w:style>
  <w:style w:type="paragraph" w:styleId="Nagwekspisutreci">
    <w:name w:val="TOC Heading"/>
    <w:basedOn w:val="Nagwekindeksu"/>
    <w:pPr>
      <w:suppressLineNumbers/>
      <w:ind w:left="0" w:right="0" w:hanging="0"/>
    </w:pPr>
    <w:rPr>
      <w:b/>
      <w:bCs/>
      <w:sz w:val="32"/>
      <w:szCs w:val="32"/>
    </w:rPr>
  </w:style>
  <w:style w:type="paragraph" w:styleId="Spistreci1">
    <w:name w:val="TOC 1"/>
    <w:basedOn w:val="Indeks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pistreci2">
    <w:name w:val="TOC 2"/>
    <w:basedOn w:val="Indeks"/>
    <w:pPr>
      <w:tabs>
        <w:tab w:val="clear" w:pos="709"/>
        <w:tab w:val="right" w:pos="9355" w:leader="dot"/>
      </w:tabs>
      <w:ind w:left="283" w:right="0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Gwka">
    <w:name w:val="Header"/>
    <w:basedOn w:val="Gwkaistopka"/>
    <w:pPr>
      <w:suppressLineNumbers/>
    </w:pPr>
    <w:rPr/>
  </w:style>
  <w:style w:type="paragraph" w:styleId="Spistreci3">
    <w:name w:val="TOC 3"/>
    <w:basedOn w:val="Indeks"/>
    <w:pPr>
      <w:tabs>
        <w:tab w:val="clear" w:pos="709"/>
        <w:tab w:val="right" w:pos="9071" w:leader="dot"/>
      </w:tabs>
      <w:ind w:left="567" w:right="0" w:hanging="0"/>
    </w:pPr>
    <w:rPr/>
  </w:style>
  <w:style w:type="paragraph" w:styleId="Tekstost">
    <w:name w:val="tekst ost"/>
    <w:basedOn w:val="Normal"/>
    <w:qFormat/>
    <w:pPr>
      <w:widowControl/>
      <w:overflowPunct w:val="false"/>
      <w:spacing w:before="100" w:after="100"/>
      <w:contextualSpacing w:val="false"/>
      <w:textAlignment w:val="baseline"/>
    </w:pPr>
    <w:rPr>
      <w:sz w:val="20"/>
    </w:rPr>
  </w:style>
  <w:style w:type="paragraph" w:styleId="Podtytu">
    <w:name w:val="Subtitle"/>
    <w:basedOn w:val="Nagwek"/>
    <w:next w:val="Tretekstu"/>
    <w:qFormat/>
    <w:pPr>
      <w:spacing w:before="60" w:after="120"/>
      <w:jc w:val="center"/>
    </w:pPr>
    <w:rPr>
      <w:sz w:val="36"/>
      <w:szCs w:val="36"/>
    </w:rPr>
  </w:style>
  <w:style w:type="paragraph" w:styleId="Tekstwstpniesformatowany">
    <w:name w:val="Tekst wstępnie sformatowany"/>
    <w:basedOn w:val="Normal"/>
    <w:qFormat/>
    <w:pPr>
      <w:spacing w:before="57" w:after="0"/>
      <w:contextualSpacing w:val="false"/>
    </w:pPr>
    <w:rPr>
      <w:rFonts w:ascii="Liberation Mono" w:hAnsi="Liberation Mono" w:eastAsia="NSimSun" w:cs="Liberation Mono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numbering" w:styleId="Numeracja123">
    <w:name w:val="Numeracja 123"/>
    <w:qFormat/>
  </w:style>
  <w:style w:type="numbering" w:styleId="NumeracjaABC">
    <w:name w:val="Numeracja ABC"/>
    <w:qFormat/>
  </w:style>
  <w:style w:type="numbering" w:styleId="WW8Num42">
    <w:name w:val="WW8Num42"/>
    <w:qFormat/>
  </w:style>
  <w:style w:type="numbering" w:styleId="WW8Num44">
    <w:name w:val="WW8Num44"/>
    <w:qFormat/>
  </w:style>
  <w:style w:type="numbering" w:styleId="WW8Num22">
    <w:name w:val="WW8Num22"/>
    <w:qFormat/>
  </w:style>
  <w:style w:type="numbering" w:styleId="WW8Num24">
    <w:name w:val="WW8Num24"/>
    <w:qFormat/>
  </w:style>
  <w:style w:type="numbering" w:styleId="WW8Num10">
    <w:name w:val="WW8Num10"/>
    <w:qFormat/>
  </w:style>
  <w:style w:type="numbering" w:styleId="WW8Num13">
    <w:name w:val="WW8Num13"/>
    <w:qFormat/>
  </w:style>
  <w:style w:type="numbering" w:styleId="WW8Num8">
    <w:name w:val="WW8Num8"/>
    <w:qFormat/>
  </w:style>
  <w:style w:type="numbering" w:styleId="WW8Num29">
    <w:name w:val="WW8Num29"/>
    <w:qFormat/>
  </w:style>
  <w:style w:type="numbering" w:styleId="WW8Num27">
    <w:name w:val="WW8Num27"/>
    <w:qFormat/>
  </w:style>
  <w:style w:type="numbering" w:styleId="WW8Num21">
    <w:name w:val="WW8Num21"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6">
    <w:name w:val="WW8Num26"/>
    <w:qFormat/>
  </w:style>
  <w:style w:type="numbering" w:styleId="WW8Num7">
    <w:name w:val="WW8Num7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487</TotalTime>
  <Application>LibreOffice/7.3.2.2$Windows_X86_64 LibreOffice_project/49f2b1bff42cfccbd8f788c8dc32c1c309559be0</Application>
  <AppVersion>15.0000</AppVersion>
  <Pages>6</Pages>
  <Words>1018</Words>
  <Characters>6631</Characters>
  <CharactersWithSpaces>7606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2016-12-11T15:23:00Z</dcterms:created>
  <dc:creator>AxP</dc:creator>
  <dc:description/>
  <cp:keywords>specyfikacje drogi drogownictwo</cp:keywords>
  <dc:language>pl-PL</dc:language>
  <cp:lastModifiedBy/>
  <dcterms:modified xsi:type="dcterms:W3CDTF">2022-07-25T22:55:59Z</dcterms:modified>
  <cp:revision>142</cp:revision>
  <dc:subject>ost</dc:subject>
  <dc:title>GENERALNA DYREKCJA DRÓG PUBLICZNYCH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