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57" w:after="57"/>
        <w:contextualSpacing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center"/>
        <w:rPr/>
      </w:pPr>
      <w:r>
        <w:rPr/>
        <w:t xml:space="preserve"> </w:t>
      </w:r>
      <w:r>
        <w:rPr>
          <w:b/>
          <w:sz w:val="36"/>
        </w:rPr>
        <w:t xml:space="preserve">SPECYFIKACJA TECHNICZNA WYKONANIA </w:t>
      </w:r>
    </w:p>
    <w:p>
      <w:pPr>
        <w:pStyle w:val="Normal"/>
        <w:jc w:val="center"/>
        <w:rPr>
          <w:b/>
          <w:b/>
          <w:strike w:val="false"/>
          <w:dstrike w:val="false"/>
          <w:sz w:val="36"/>
          <w:u w:val="none"/>
        </w:rPr>
      </w:pPr>
      <w:r>
        <w:rPr>
          <w:b/>
          <w:strike w:val="false"/>
          <w:dstrike w:val="false"/>
          <w:sz w:val="36"/>
          <w:u w:val="none"/>
        </w:rPr>
        <w:t xml:space="preserve">I ODBIORU ROBÓT BUDOWLANYCH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Normal"/>
        <w:jc w:val="center"/>
        <w:rPr/>
      </w:pPr>
      <w:r>
        <w:rPr/>
        <w:t xml:space="preserve"> </w:t>
      </w:r>
      <w:r>
        <w:rPr>
          <w:b/>
          <w:sz w:val="36"/>
        </w:rPr>
        <w:t xml:space="preserve">D.01.01.01 </w:t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 xml:space="preserve">ODTWORZENIE TRASY </w:t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I PUNKTÓW WYSOKOŚCIOWYCH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agwekspisutreci"/>
            <w:rPr/>
          </w:pPr>
          <w:r>
            <w:br w:type="page"/>
          </w:r>
          <w:r>
            <w:rPr/>
            <w:t>Spis treści</w:t>
          </w:r>
        </w:p>
        <w:p>
          <w:pPr>
            <w:pStyle w:val="Spistreci1"/>
            <w:rPr/>
          </w:pPr>
          <w:r>
            <w:fldChar w:fldCharType="begin"/>
          </w:r>
          <w:r>
            <w:rPr>
              <w:rStyle w:val="Czeindeksu"/>
            </w:rPr>
            <w:instrText xml:space="preserve"> TOC \f \o "1-9" \h</w:instrText>
          </w:r>
          <w:r>
            <w:rPr>
              <w:rStyle w:val="Czeindeksu"/>
            </w:rPr>
            <w:fldChar w:fldCharType="separate"/>
          </w:r>
          <w:hyperlink w:anchor="__RefHeading___Toc461_3993978502">
            <w:r>
              <w:rPr>
                <w:rStyle w:val="Czeindeksu"/>
              </w:rPr>
              <w:t>1. WSTĘP</w:t>
              <w:tab/>
              <w:t>3</w:t>
            </w:r>
          </w:hyperlink>
        </w:p>
        <w:p>
          <w:pPr>
            <w:pStyle w:val="Spistreci1"/>
            <w:rPr/>
          </w:pPr>
          <w:hyperlink w:anchor="__RefHeading___Toc1865_760393915">
            <w:r>
              <w:rPr>
                <w:rStyle w:val="Czeindeksu"/>
              </w:rPr>
              <w:t>2. MATERIAŁY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67_760393915">
            <w:r>
              <w:rPr>
                <w:rStyle w:val="Czeindeksu"/>
              </w:rPr>
              <w:t>3. SPRZĘT.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69_760393915">
            <w:r>
              <w:rPr>
                <w:rStyle w:val="Czeindeksu"/>
              </w:rPr>
              <w:t>4. TRANSPORT: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71_760393915">
            <w:r>
              <w:rPr>
                <w:rStyle w:val="Czeindeksu"/>
              </w:rPr>
              <w:t>5. WYKONANIE ROBÓT: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73_760393915">
            <w:r>
              <w:rPr>
                <w:rStyle w:val="Czeindeksu"/>
              </w:rPr>
              <w:t>6. KONTROLA JAKOŚCI ROBÓT:</w:t>
              <w:tab/>
              <w:t>5</w:t>
            </w:r>
          </w:hyperlink>
        </w:p>
        <w:p>
          <w:pPr>
            <w:pStyle w:val="Spistreci1"/>
            <w:rPr/>
          </w:pPr>
          <w:hyperlink w:anchor="__RefHeading___Toc1875_760393915">
            <w:r>
              <w:rPr>
                <w:rStyle w:val="Czeindeksu"/>
              </w:rPr>
              <w:t>7. OBMIAR ROBÓT:</w:t>
              <w:tab/>
              <w:t>5</w:t>
            </w:r>
          </w:hyperlink>
        </w:p>
        <w:p>
          <w:pPr>
            <w:pStyle w:val="Spistreci1"/>
            <w:rPr/>
          </w:pPr>
          <w:hyperlink w:anchor="__RefHeading___Toc240_134476449">
            <w:r>
              <w:rPr>
                <w:rStyle w:val="Czeindeksu"/>
              </w:rPr>
              <w:t>8. ODBIÓR ROBÓT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242_134476449">
            <w:r>
              <w:rPr>
                <w:rStyle w:val="Czeindeksu"/>
              </w:rPr>
              <w:t>9. PODSTAWA PŁATNOŚCI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244_134476449">
            <w:r>
              <w:rPr>
                <w:rStyle w:val="Czeindeksu"/>
              </w:rPr>
              <w:t>10. PRZEPISY ZWIĄZANE</w:t>
              <w:tab/>
              <w:t>6</w:t>
            </w:r>
          </w:hyperlink>
          <w:r>
            <w:rPr>
              <w:rStyle w:val="Czeindeksu"/>
            </w:rPr>
            <w:fldChar w:fldCharType="end"/>
          </w:r>
        </w:p>
      </w:sdtContent>
    </w:sdt>
    <w:p>
      <w:pPr>
        <w:pStyle w:val="Normal"/>
        <w:rPr>
          <w:b/>
          <w:b/>
          <w:bCs/>
        </w:rPr>
      </w:pPr>
      <w:r>
        <w:rPr>
          <w:b/>
          <w:bCs/>
        </w:rPr>
      </w:r>
      <w:r>
        <w:br w:type="page"/>
      </w:r>
    </w:p>
    <w:p>
      <w:pPr>
        <w:pStyle w:val="Nagwek1"/>
        <w:keepNext w:val="true"/>
        <w:spacing w:lineRule="auto" w:line="360" w:before="113" w:after="57"/>
        <w:ind w:left="0" w:right="-340" w:hanging="0"/>
        <w:jc w:val="left"/>
        <w:rPr/>
      </w:pPr>
      <w:bookmarkStart w:id="0" w:name="__RefHeading___Toc461_3993978502"/>
      <w:bookmarkEnd w:id="0"/>
      <w:r>
        <w:rPr/>
        <w:t>WSTĘP</w:t>
      </w:r>
    </w:p>
    <w:p>
      <w:pPr>
        <w:pStyle w:val="Normal"/>
        <w:rPr>
          <w:b/>
          <w:b/>
          <w:bCs/>
        </w:rPr>
      </w:pPr>
      <w:bookmarkStart w:id="1" w:name="__RefHeading___Toc463_3993978502"/>
      <w:bookmarkEnd w:id="1"/>
      <w:r>
        <w:rPr>
          <w:b/>
          <w:bCs/>
        </w:rPr>
        <w:t>1.1. Przedmiot ST</w:t>
      </w:r>
    </w:p>
    <w:p>
      <w:pPr>
        <w:pStyle w:val="Tretekstu"/>
        <w:rPr/>
      </w:pPr>
      <w:r>
        <w:rPr>
          <w:rFonts w:cs="Times New Roman"/>
          <w:sz w:val="23"/>
        </w:rPr>
        <w:tab/>
        <w:t>Przedmiotem niniejszej specyfikacji technicznej (ST) s</w:t>
      </w:r>
      <w:r>
        <w:rPr>
          <w:sz w:val="23"/>
        </w:rPr>
        <w:t xml:space="preserve">ą wymagania dotyczące wykonania i odbioru robót pomiarowych związanych z odtworzeniem punktów wysokościowych wykonywanych dla potrzeb rozbiórki kładki dla pieszych nad torami PKP linii Kutno-Piła (linia nr 18, w km 91,863) w Aleksandrowie Kujawskim , w sąsiedztwie przejazdu kolejowego w ul. Dworcowej  </w:t>
      </w:r>
    </w:p>
    <w:p>
      <w:pPr>
        <w:pStyle w:val="Normal"/>
        <w:rPr>
          <w:b/>
          <w:b/>
          <w:bCs/>
        </w:rPr>
      </w:pPr>
      <w:bookmarkStart w:id="2" w:name="__RefHeading___Toc465_3993978502"/>
      <w:bookmarkEnd w:id="2"/>
      <w:r>
        <w:rPr>
          <w:b/>
          <w:bCs/>
        </w:rPr>
        <w:t>1.2. Zakres stosowania ST</w:t>
      </w:r>
    </w:p>
    <w:p>
      <w:pPr>
        <w:pStyle w:val="Tretekstu"/>
        <w:rPr/>
      </w:pPr>
      <w:r>
        <w:rPr/>
        <w:tab/>
        <w:t xml:space="preserve">Specyfikacje Techniczne stanowią część Dokumentów Przetargowych i Kontraktowych i należy je stosować w zlecaniu i wykonaniu Robót opisanych w podpunkcie 1.1. </w:t>
      </w:r>
    </w:p>
    <w:p>
      <w:pPr>
        <w:pStyle w:val="Normal"/>
        <w:rPr/>
      </w:pPr>
      <w:bookmarkStart w:id="3" w:name="__RefHeading___Toc467_3993978502"/>
      <w:bookmarkEnd w:id="3"/>
      <w:r>
        <w:rPr>
          <w:b/>
          <w:bCs/>
          <w:szCs w:val="24"/>
        </w:rPr>
        <w:t xml:space="preserve">1.3. </w:t>
      </w:r>
      <w:r>
        <w:rPr>
          <w:b/>
          <w:bCs/>
        </w:rPr>
        <w:t>Zakres robót objętych ST</w:t>
      </w:r>
    </w:p>
    <w:p>
      <w:pPr>
        <w:pStyle w:val="Tretekstu"/>
        <w:rPr/>
      </w:pPr>
      <w:r>
        <w:rPr>
          <w:sz w:val="28"/>
          <w:szCs w:val="28"/>
        </w:rPr>
        <w:tab/>
      </w:r>
      <w:r>
        <w:rPr>
          <w:sz w:val="23"/>
          <w:szCs w:val="28"/>
        </w:rPr>
        <w:t>Ustalenia zawarte w niniejszej specyfikacji dotycz</w:t>
      </w:r>
      <w:r>
        <w:rPr>
          <w:sz w:val="23"/>
        </w:rPr>
        <w:t xml:space="preserve">ą zasad prowadzenia robót związanych ze wszystkimi czynnościami umożliwiającymi i mającymi na celu odtworzenie w terenie przebiegu trasy drogowej oraz położenia obiektów inżynierskich. </w:t>
      </w:r>
    </w:p>
    <w:p>
      <w:pPr>
        <w:pStyle w:val="Normal"/>
        <w:spacing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z w:val="23"/>
          <w:szCs w:val="22"/>
          <w:u w:val="none"/>
        </w:rPr>
        <w:t>1.3.1. Odtworzenie trasy i punktów wysokościowych</w:t>
      </w:r>
    </w:p>
    <w:p>
      <w:pPr>
        <w:pStyle w:val="Tretekstu"/>
        <w:rPr/>
      </w:pPr>
      <w:r>
        <w:rPr/>
        <w:t xml:space="preserve">Roboty pomiarowe, związane z odtworzeniem trasy i punktów wysokościowych obejmują: </w:t>
      </w:r>
    </w:p>
    <w:p>
      <w:pPr>
        <w:pStyle w:val="Tretekstu"/>
        <w:ind w:left="709" w:right="0" w:hanging="0"/>
        <w:rPr/>
      </w:pPr>
      <w:r>
        <w:rPr/>
        <w:t xml:space="preserve">a) sprawdzenie wyznaczenia sytuacyjnego i wysokościowego punktów głównych osi trasy i punktów wysokościowych, </w:t>
      </w:r>
    </w:p>
    <w:p>
      <w:pPr>
        <w:pStyle w:val="Tretekstu"/>
        <w:ind w:left="709" w:right="0" w:hanging="0"/>
        <w:rPr/>
      </w:pPr>
      <w:r>
        <w:rPr/>
        <w:t xml:space="preserve">b) uzupełnienie osi trasy dodatkowymi punktami (wyznaczenie osi), </w:t>
      </w:r>
    </w:p>
    <w:p>
      <w:pPr>
        <w:pStyle w:val="Tretekstu"/>
        <w:ind w:left="709" w:right="0" w:hanging="0"/>
        <w:rPr/>
      </w:pPr>
      <w:r>
        <w:rPr/>
        <w:t xml:space="preserve">c) wyznaczenie dodatkowych punktów wysokościowych (reperów roboczych), </w:t>
      </w:r>
    </w:p>
    <w:p>
      <w:pPr>
        <w:pStyle w:val="Tretekstu"/>
        <w:ind w:left="709" w:right="0" w:hanging="0"/>
        <w:rPr/>
      </w:pPr>
      <w:r>
        <w:rPr/>
        <w:t xml:space="preserve">d) wyznaczenie przekrojów poprzecznych, </w:t>
      </w:r>
    </w:p>
    <w:p>
      <w:pPr>
        <w:pStyle w:val="Tretekstu"/>
        <w:ind w:left="709" w:right="0" w:hanging="0"/>
        <w:rPr/>
      </w:pPr>
      <w:r>
        <w:rPr/>
        <w:t xml:space="preserve">e) zastabilizowanie punktów w sposób trwały, ochrona ich przed zniszczeniem oraz oznakowanie w sposób ułatwiający odszukanie i ewentualne odtworzenie. </w:t>
      </w:r>
    </w:p>
    <w:p>
      <w:pPr>
        <w:pStyle w:val="Normal"/>
        <w:spacing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z w:val="23"/>
          <w:szCs w:val="22"/>
          <w:u w:val="none"/>
        </w:rPr>
        <w:t>1.3.2. Wyznaczenie obiektów mostowych</w:t>
      </w:r>
    </w:p>
    <w:p>
      <w:pPr>
        <w:pStyle w:val="Tretekstu"/>
        <w:rPr/>
      </w:pPr>
      <w:r>
        <w:rPr>
          <w:sz w:val="23"/>
        </w:rPr>
        <w:t xml:space="preserve">Roboty pomiarowe, związane z wyznaczeniem obiektów mostowych obejmują: </w:t>
      </w:r>
    </w:p>
    <w:p>
      <w:pPr>
        <w:pStyle w:val="Tretekstu"/>
        <w:ind w:left="709" w:right="0" w:hanging="0"/>
        <w:rPr/>
      </w:pPr>
      <w:r>
        <w:rPr/>
        <w:t xml:space="preserve">a) sprawdzenie wyznaczenia osi obiektu i punktów wysokościowych, </w:t>
      </w:r>
    </w:p>
    <w:p>
      <w:pPr>
        <w:pStyle w:val="Tretekstu"/>
        <w:ind w:left="709" w:right="0" w:hanging="0"/>
        <w:rPr/>
      </w:pPr>
      <w:r>
        <w:rPr/>
        <w:t xml:space="preserve">b) zastabilizowanie punktów w sposób trwały, ochronę ich przed zniszczeniem, oznakowanie w sposób ułatwiający odszukanie i ewentualne odtworzenie </w:t>
      </w:r>
    </w:p>
    <w:p>
      <w:pPr>
        <w:pStyle w:val="Tretekstu"/>
        <w:ind w:left="709" w:right="0" w:hanging="0"/>
        <w:rPr/>
      </w:pPr>
      <w:r>
        <w:rPr/>
        <w:t xml:space="preserve">c) wyznaczenie usytuowania obiektu (kontur, podpory, punkty). </w:t>
      </w:r>
    </w:p>
    <w:p>
      <w:pPr>
        <w:pStyle w:val="Normal"/>
        <w:spacing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 w:val="false"/>
          <w:bCs/>
          <w:i w:val="false"/>
          <w:iCs w:val="false"/>
          <w:sz w:val="23"/>
          <w:szCs w:val="22"/>
          <w:u w:val="none"/>
        </w:rPr>
        <w:t>1.3.3. Wykonanie inwentaryzacji powykonawczej wykonanych robót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4"/>
          <w:szCs w:val="24"/>
          <w:u w:val="none"/>
        </w:rPr>
      </w:pPr>
      <w:r>
        <w:rPr>
          <w:b/>
          <w:bCs/>
          <w:sz w:val="24"/>
          <w:szCs w:val="24"/>
          <w:u w:val="none"/>
        </w:rPr>
        <w:t>1.4. Określenia podstawowe</w:t>
      </w:r>
    </w:p>
    <w:p>
      <w:pPr>
        <w:pStyle w:val="Tretekstu"/>
        <w:spacing w:lineRule="auto" w:line="276" w:before="0" w:after="142"/>
        <w:ind w:left="567" w:right="0" w:hanging="567"/>
        <w:contextualSpacing/>
        <w:jc w:val="both"/>
        <w:rPr/>
      </w:pPr>
      <w:r>
        <w:rPr>
          <w:b w:val="false"/>
          <w:bCs w:val="false"/>
          <w:u w:val="none"/>
        </w:rPr>
        <w:t>1.4.1.</w:t>
      </w:r>
      <w:r>
        <w:rPr>
          <w:b w:val="false"/>
          <w:bCs w:val="false"/>
          <w:strike w:val="false"/>
          <w:dstrike w:val="false"/>
          <w:u w:val="none"/>
        </w:rPr>
        <w:t xml:space="preserve"> Punk</w:t>
      </w:r>
      <w:r>
        <w:rPr>
          <w:b w:val="false"/>
          <w:strike w:val="false"/>
          <w:dstrike w:val="false"/>
          <w:u w:val="none"/>
        </w:rPr>
        <w:t xml:space="preserve">ty główne trasy - punkty załamania osi trasy, punkty kierunkowe oraz początkowy i końcowy punkt trasy. </w:t>
      </w:r>
    </w:p>
    <w:p>
      <w:pPr>
        <w:pStyle w:val="Tretekstu"/>
        <w:spacing w:lineRule="auto" w:line="276" w:before="0" w:after="142"/>
        <w:ind w:left="567" w:right="0" w:hanging="567"/>
        <w:contextualSpacing/>
        <w:jc w:val="both"/>
        <w:rPr>
          <w:rFonts w:ascii="Liberation Serif" w:hAnsi="Liberation Serif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strike w:val="false"/>
          <w:dstrike w:val="false"/>
          <w:sz w:val="20"/>
          <w:u w:val="none"/>
        </w:rPr>
        <w:t>1.4.2.</w:t>
      </w:r>
      <w:r>
        <w:rPr>
          <w:b w:val="false"/>
          <w:bCs w:val="false"/>
          <w:i w:val="false"/>
          <w:iCs w:val="false"/>
          <w:strike w:val="false"/>
          <w:dstrike w:val="false"/>
          <w:sz w:val="22"/>
          <w:szCs w:val="22"/>
          <w:u w:val="none"/>
        </w:rPr>
        <w:t xml:space="preserve"> Pozosta</w:t>
      </w:r>
      <w:r>
        <w:rPr>
          <w:i w:val="false"/>
          <w:iCs w:val="false"/>
          <w:sz w:val="22"/>
          <w:szCs w:val="22"/>
        </w:rPr>
        <w:t>łe określe</w:t>
      </w:r>
      <w:r>
        <w:rPr>
          <w:i w:val="false"/>
          <w:iCs w:val="false"/>
          <w:sz w:val="23"/>
        </w:rPr>
        <w:t>nia podstawowe są zgodne z obowiązującymi, odpowiednimi polskimi normami i z definicjami podanymi w ST D-M-00.00.00 „Wymagania ogólne” pkt 1.4.</w:t>
      </w:r>
    </w:p>
    <w:p>
      <w:pPr>
        <w:pStyle w:val="Default"/>
        <w:spacing w:lineRule="auto" w:line="360" w:before="57" w:after="57"/>
        <w:contextualSpacing/>
        <w:rPr/>
      </w:pPr>
      <w:r>
        <w:rPr>
          <w:b/>
          <w:bCs/>
          <w:sz w:val="23"/>
          <w:szCs w:val="24"/>
          <w:u w:val="none"/>
        </w:rPr>
        <w:t>1.5. Ogólne wymagania dotyczące robót</w:t>
      </w:r>
    </w:p>
    <w:p>
      <w:pPr>
        <w:pStyle w:val="Normal"/>
        <w:spacing w:before="57" w:after="57"/>
        <w:contextualSpacing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b w:val="false"/>
          <w:bCs/>
          <w:strike w:val="false"/>
          <w:dstrike w:val="false"/>
          <w:sz w:val="23"/>
          <w:szCs w:val="22"/>
          <w:u w:val="none"/>
        </w:rPr>
        <w:tab/>
        <w:t xml:space="preserve">Ogólne wymagania dotyczące robót podano w ST D-M-00.00.00 „Wymagania ogólne” pkt 1.5. </w:t>
      </w:r>
    </w:p>
    <w:p>
      <w:pPr>
        <w:pStyle w:val="Nagwek1"/>
        <w:ind w:left="57" w:right="0" w:hanging="0"/>
        <w:rPr/>
      </w:pPr>
      <w:bookmarkStart w:id="4" w:name="__RefHeading___Toc1865_760393915"/>
      <w:bookmarkEnd w:id="4"/>
      <w:r>
        <w:rPr/>
        <w:t>MATERIAŁY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2.1. Ogólne wymagania dotyczące materiałów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materiałów, ich pozyskiwania i składowania podano w ST D-M-00.00.00 „Wymagania ogólne” pkt 2.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2.1. Rodzaje materiałów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Do utrwalenia punkt</w:t>
      </w:r>
      <w:r>
        <w:rPr>
          <w:sz w:val="23"/>
        </w:rPr>
        <w:t xml:space="preserve">ów głównych trasy należy stosować pale drewniane z gwoździem lub prętem stalowym, słupki betonowe albo rury metalowe o długości około 0,50 metra. </w:t>
      </w:r>
    </w:p>
    <w:p>
      <w:pPr>
        <w:pStyle w:val="Tretekstu"/>
        <w:rPr/>
      </w:pPr>
      <w:r>
        <w:rPr/>
        <w:tab/>
        <w:t xml:space="preserve">Pale drewniane umieszczone poza granicą robót ziemnych, w sąsiedztwie punktów załamania trasy, powinny mieć średnicę od 0,15 do 0,20 m i długość od 1,5 do 1,7 m. </w:t>
      </w:r>
    </w:p>
    <w:p>
      <w:pPr>
        <w:pStyle w:val="Tretekstu"/>
        <w:rPr/>
      </w:pPr>
      <w:r>
        <w:rPr/>
        <w:tab/>
        <w:t xml:space="preserve">Do stabilizacji pozostałych punktów należy stosować paliki drewniane średnicy od 0,05 do 0,08 m i długości około 0,30 m, a dla punktów utrwalanych w istniejącej nawierzchni bolce stalowe średnicy 5 mm i długości od 0,04 do 0,05 m. </w:t>
      </w:r>
    </w:p>
    <w:p>
      <w:pPr>
        <w:pStyle w:val="Tretekstu"/>
        <w:rPr>
          <w:color w:val="auto"/>
        </w:rPr>
      </w:pPr>
      <w:r>
        <w:rPr>
          <w:color w:val="auto"/>
        </w:rPr>
        <w:tab/>
        <w:t xml:space="preserve">„Świadki” powinny mieć długość około 0,50 m i przekrój prostokątny.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5" w:name="__RefHeading___Toc1867_760393915"/>
      <w:bookmarkEnd w:id="5"/>
      <w:r>
        <w:rPr/>
        <w:t>SPRZĘT.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3.1. Ogólne wymagania dotyczące sprzętu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sprzętu podano w ST D-M-00.00.00 „Wymagania ogólne” pkt 3.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3.2. Sprzęt pomiarowy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>Do odtworzenia sytuacyjnego trasy i punkt</w:t>
      </w:r>
      <w:r>
        <w:rPr>
          <w:sz w:val="23"/>
        </w:rPr>
        <w:t xml:space="preserve">ów wysokościowych należy stosować następujący sprzęt: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teodolity lub tachimetry,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niwelatory,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dalmierze,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tyczki,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łaty, </w:t>
      </w:r>
    </w:p>
    <w:p>
      <w:pPr>
        <w:pStyle w:val="Tretekstu"/>
        <w:numPr>
          <w:ilvl w:val="0"/>
          <w:numId w:val="2"/>
        </w:numPr>
        <w:spacing w:before="170" w:after="170"/>
        <w:ind w:left="720" w:right="0" w:hanging="360"/>
        <w:contextualSpacing/>
        <w:rPr/>
      </w:pPr>
      <w:r>
        <w:rPr/>
        <w:t xml:space="preserve">taśmy stalowe, szpilki. </w:t>
      </w:r>
    </w:p>
    <w:p>
      <w:pPr>
        <w:pStyle w:val="Tretekstu"/>
        <w:rPr/>
      </w:pPr>
      <w:r>
        <w:rPr/>
        <w:t xml:space="preserve">Sprzęt stosowany do odtworzenia trasy drogowej i jej punktów wysokościowych powinien gwarantować uzyskanie wymaganej dokładności pomiaru.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6" w:name="__RefHeading___Toc1869_760393915"/>
      <w:bookmarkEnd w:id="6"/>
      <w:r>
        <w:rPr/>
        <w:t>TRANSPORT: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4.1. Ogólne wymagania dotyczące transportu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>Og</w:t>
      </w:r>
      <w:r>
        <w:rPr>
          <w:sz w:val="23"/>
        </w:rPr>
        <w:t xml:space="preserve">ólne wymagania dotyczące transportu podano w ST D-M-00.00.00 „Wymagania ogólne” pkt 4.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4.2. Transport sprzętu i materiałów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Sprz</w:t>
      </w:r>
      <w:r>
        <w:rPr>
          <w:sz w:val="23"/>
        </w:rPr>
        <w:t>ęt i materiały do odtworzenia trasy można przewozić dowolnymi środkami transportu.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7" w:name="__RefHeading___Toc1871_760393915"/>
      <w:bookmarkEnd w:id="7"/>
      <w:r>
        <w:rPr/>
        <w:t>WYKONANIE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5.1. Ogólne zasady wykonania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wykonania robót podano w ST D-M-00.00.00 „Wymagania ogólne” pkt 5.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z w:val="22"/>
          <w:szCs w:val="22"/>
          <w:u w:val="none"/>
        </w:rPr>
      </w:r>
      <w:r>
        <w:br w:type="page"/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5.2. Zasady wykonywania prac pomiarowych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Prace pomiarowe powinny by</w:t>
      </w:r>
      <w:r>
        <w:rPr>
          <w:sz w:val="23"/>
        </w:rPr>
        <w:t xml:space="preserve">ć wykonane zgodnie z obowiązującymi Instrukcjami GUGiK (od 1 do 7). </w:t>
      </w:r>
    </w:p>
    <w:p>
      <w:pPr>
        <w:pStyle w:val="Tretekstu"/>
        <w:rPr/>
      </w:pPr>
      <w:r>
        <w:rPr/>
        <w:tab/>
        <w:t xml:space="preserve">Przed przystąpieniem do robót Wykonawca powinien przejąć od Zamawiającego dane zawierające lokalizację i współrzędne punktów głównych trasy oraz reperów. </w:t>
      </w:r>
    </w:p>
    <w:p>
      <w:pPr>
        <w:pStyle w:val="Tretekstu"/>
        <w:rPr/>
      </w:pPr>
      <w:r>
        <w:rPr/>
        <w:tab/>
        <w:t xml:space="preserve">W oparciu o materiały dostarczone przez Zamawiającego, Wykonawca powinien przeprowadzić obliczenia i pomiary geodezyjne niezbędne do szczegółowego wytyczenia robót. </w:t>
      </w:r>
    </w:p>
    <w:p>
      <w:pPr>
        <w:pStyle w:val="Tretekstu"/>
        <w:rPr/>
      </w:pPr>
      <w:r>
        <w:rPr/>
        <w:t xml:space="preserve">Prace pomiarowe powinny być wykonane przez osoby posiadające odpowiednie kwalifikacje i uprawnienia. </w:t>
      </w:r>
    </w:p>
    <w:p>
      <w:pPr>
        <w:pStyle w:val="Tretekstu"/>
        <w:rPr/>
      </w:pPr>
      <w:r>
        <w:rPr/>
        <w:tab/>
        <w:t xml:space="preserve">Wykonawca powinien natychmiast poinformować Inżyniera o wszelkich błędach wykrytych w wytyczeniu punktów głównych trasy i (lub) reperów roboczych. Błędy te powinny być usunięte na koszt Zamawiającego. </w:t>
      </w:r>
    </w:p>
    <w:p>
      <w:pPr>
        <w:pStyle w:val="Tretekstu"/>
        <w:rPr/>
      </w:pPr>
      <w:r>
        <w:rPr/>
        <w:tab/>
        <w:t xml:space="preserve"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 </w:t>
      </w:r>
    </w:p>
    <w:p>
      <w:pPr>
        <w:pStyle w:val="Tretekstu"/>
        <w:rPr/>
      </w:pPr>
      <w:r>
        <w:rPr/>
        <w:tab/>
        <w:t xml:space="preserve">Wszystkie roboty, które bazują na pomiarach Wykonawcy, nie mogą być rozpoczęte przed zaakceptowaniem wyników pomiarów przez Inżyniera. </w:t>
      </w:r>
    </w:p>
    <w:p>
      <w:pPr>
        <w:pStyle w:val="Tretekstu"/>
        <w:rPr/>
      </w:pPr>
      <w:r>
        <w:rPr/>
        <w:tab/>
        <w:t xml:space="preserve"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 </w:t>
      </w:r>
    </w:p>
    <w:p>
      <w:pPr>
        <w:pStyle w:val="Tretekstu"/>
        <w:rPr/>
      </w:pPr>
      <w:r>
        <w:rPr/>
        <w:tab/>
        <w:t xml:space="preserve">Wykonawca jest odpowiedzialny za ochronę wszystkich punktów pomiarowych i ich oznaczeń w czasie trwania robót. Jeżeli znaki pomiarowe przekazane przez Zamawiającego zostaną zniszczone przez </w:t>
        <w:tab/>
        <w:t xml:space="preserve">Wykonawcę świadomie lub wskutek zaniedbania, a ich odtworzenie jest konieczne do dalszego prowadzenia robót, to zostaną one odtworzone na koszt Wykonawcy. </w:t>
      </w:r>
    </w:p>
    <w:p>
      <w:pPr>
        <w:pStyle w:val="Tretekstu"/>
        <w:rPr/>
      </w:pPr>
      <w:r>
        <w:rPr/>
        <w:tab/>
        <w:t xml:space="preserve">Wszystkie pozostałe prace pomiarowe konieczne dla prawidłowej realizacji robót należą do obowiązków Wykonawcy.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8" w:name="__RefHeading___Toc1873_760393915"/>
      <w:bookmarkEnd w:id="8"/>
      <w:r>
        <w:rPr/>
        <w:t>KONTROLA JAKOŚCI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6.1. Ogólne zasady kontroli jakości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kontroli jakości robót podano w ST D-M-00.00.00 „Wymagania ogólne” pkt 6.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6.2. Kontrola jakości prac pomiarowych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Kontrol</w:t>
      </w:r>
      <w:r>
        <w:rPr>
          <w:sz w:val="23"/>
        </w:rPr>
        <w:t>ę jakości prac pomiarowych związanych z odtworzeniem trasy i punktów wysokościowych należy prowadzić według ogólnych zasad określonych w instrukcjach i wytycznych GUGiK (1,2,3,4,5,6,7).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9" w:name="__RefHeading___Toc1875_760393915"/>
      <w:bookmarkEnd w:id="9"/>
      <w:r>
        <w:rPr/>
        <w:t>OBMIAR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7.1. Ogólne zasady obmiaru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obmiaru robót podano w ST D-M-00.00.00 „Wymagania ogólne” pkt 7. </w:t>
      </w:r>
    </w:p>
    <w:p>
      <w:pPr>
        <w:pStyle w:val="Tretekstu"/>
        <w:rPr/>
      </w:pPr>
      <w:r>
        <w:rPr>
          <w:sz w:val="23"/>
        </w:rPr>
        <w:tab/>
        <w:t xml:space="preserve">W niniejszym przedmiocie opracowania nie obowiązuje obmiar robót. Podstawą rozliczenia robót jest kwota ryczałtowa, określona na etapie przetargu, wynikająca ze Specyfikacji Technicznej i przedmiaru robót. Kwota ryczałtowa jest ostateczną i nie podlegającą negocjacjom, a tym samym zmianom Dlatego też Wykonawca na etapie składania oferty winien uwzględnić koszty bezpośrednie związane z realizacją robót i wkalkulować w cenę ryczałtową koszty pozostałe, a tym samym niezbędne do prawidłowej realizacji przedmiotu zamówienia. </w:t>
      </w:r>
    </w:p>
    <w:p>
      <w:pPr>
        <w:pStyle w:val="Nagwek1"/>
        <w:ind w:left="57" w:right="0" w:hanging="0"/>
        <w:rPr>
          <w:b/>
          <w:b/>
          <w:bCs/>
        </w:rPr>
      </w:pPr>
      <w:bookmarkStart w:id="10" w:name="__RefHeading___Toc240_134476449"/>
      <w:bookmarkEnd w:id="10"/>
      <w:r>
        <w:rPr/>
        <w:t>ODBIÓR ROBÓT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8.1. Ogólne zasady odbioru robót</w:t>
      </w:r>
    </w:p>
    <w:p>
      <w:pPr>
        <w:pStyle w:val="Tretekstu"/>
        <w:rPr/>
      </w:pPr>
      <w:r>
        <w:rPr>
          <w:b w:val="false"/>
          <w:bCs w:val="false"/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odbioru robót podano w ST D-M-00.00.00 „Wymagania ogólne” pkt 8.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8.2. Sposób odbioru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Odbi</w:t>
      </w:r>
      <w:r>
        <w:rPr>
          <w:sz w:val="23"/>
        </w:rPr>
        <w:t xml:space="preserve">ór robót związanych z odtworzeniem trasy w terenie następuje na podstawie szkiców i dzienników pomiarów geodezyjnych lub protokółu z kontroli geodezyjnej, które Wykonawca przedkłada Inspektorowi Nadzoru. </w:t>
      </w:r>
    </w:p>
    <w:p>
      <w:pPr>
        <w:pStyle w:val="Nagwek1"/>
        <w:ind w:left="57" w:right="0" w:hanging="0"/>
        <w:rPr>
          <w:b/>
          <w:b/>
          <w:bCs/>
        </w:rPr>
      </w:pPr>
      <w:bookmarkStart w:id="11" w:name="__RefHeading___Toc242_134476449"/>
      <w:bookmarkEnd w:id="11"/>
      <w:r>
        <w:rPr/>
        <w:t>PODSTAWA PŁATNOŚCI</w:t>
      </w:r>
    </w:p>
    <w:p>
      <w:pPr>
        <w:pStyle w:val="Default"/>
        <w:spacing w:lineRule="auto" w:line="360" w:before="57" w:after="57"/>
        <w:contextualSpacing/>
        <w:rPr/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9.1. </w:t>
      </w:r>
      <w:r>
        <w:rPr>
          <w:b/>
          <w:strike w:val="false"/>
          <w:dstrike w:val="false"/>
          <w:sz w:val="23"/>
          <w:szCs w:val="24"/>
        </w:rPr>
        <w:t>Og</w:t>
      </w:r>
      <w:r>
        <w:rPr>
          <w:b/>
          <w:sz w:val="23"/>
        </w:rPr>
        <w:t xml:space="preserve">ólne ustalenia dotyczące podstawy płatności </w:t>
      </w:r>
    </w:p>
    <w:p>
      <w:pPr>
        <w:pStyle w:val="Tretekstu"/>
        <w:rPr/>
      </w:pPr>
      <w:r>
        <w:rPr/>
        <w:tab/>
        <w:t xml:space="preserve">Ogólne ustalenia dotyczące podstawy płatności podano w ST D-M-00.00.00 „Wymagania ogólne” pkt 9. </w:t>
      </w:r>
    </w:p>
    <w:p>
      <w:pPr>
        <w:pStyle w:val="Tretekstu"/>
        <w:rPr/>
      </w:pPr>
      <w:r>
        <w:rPr/>
        <w:tab/>
        <w:t xml:space="preserve">Podstawą płatności robót budowlanych jest ryczałt, skalkulowany przez Wykonawcę na podstawie Specyfikacji Technicznej oraz wizji lokalnej – na etapie przygotowania oferty. Ryczałt uwzględnia wszystkie czynności, wymagania i badania składające się na prawidłowe wykonanie przedmiotu zamówienia. </w:t>
      </w:r>
    </w:p>
    <w:p>
      <w:pPr>
        <w:pStyle w:val="Nagwek1"/>
        <w:ind w:left="57" w:right="0" w:hanging="0"/>
        <w:rPr>
          <w:b/>
          <w:b/>
          <w:bCs/>
        </w:rPr>
      </w:pPr>
      <w:bookmarkStart w:id="12" w:name="__RefHeading___Toc244_134476449"/>
      <w:bookmarkEnd w:id="12"/>
      <w:r>
        <w:rPr/>
        <w:t>PRZEPISY ZWIĄZANE</w:t>
      </w:r>
    </w:p>
    <w:p>
      <w:pPr>
        <w:pStyle w:val="Default"/>
        <w:numPr>
          <w:ilvl w:val="0"/>
          <w:numId w:val="3"/>
        </w:numPr>
        <w:spacing w:before="57" w:after="164"/>
        <w:contextualSpacing/>
        <w:rPr>
          <w:sz w:val="23"/>
        </w:rPr>
      </w:pPr>
      <w:r>
        <w:rPr>
          <w:sz w:val="23"/>
        </w:rPr>
        <w:t xml:space="preserve">Instrukcja techniczna 0-1. Ogólne zasady wykonywania prac geodezyjnych. </w:t>
      </w:r>
    </w:p>
    <w:p>
      <w:pPr>
        <w:pStyle w:val="Default"/>
        <w:numPr>
          <w:ilvl w:val="0"/>
          <w:numId w:val="3"/>
        </w:numPr>
        <w:spacing w:before="57" w:after="164"/>
        <w:contextualSpacing/>
        <w:rPr>
          <w:sz w:val="23"/>
        </w:rPr>
      </w:pPr>
      <w:r>
        <w:rPr>
          <w:sz w:val="23"/>
        </w:rPr>
        <w:t xml:space="preserve">Instrukcja techniczna G-3. Geodezyjna obsługa inwestycji, Główny Urząd Geodezji i Kartografii, Warszawa 1979. </w:t>
      </w:r>
    </w:p>
    <w:p>
      <w:pPr>
        <w:pStyle w:val="Default"/>
        <w:numPr>
          <w:ilvl w:val="0"/>
          <w:numId w:val="3"/>
        </w:numPr>
        <w:spacing w:before="57" w:after="164"/>
        <w:contextualSpacing/>
        <w:rPr>
          <w:sz w:val="23"/>
        </w:rPr>
      </w:pPr>
      <w:r>
        <w:rPr>
          <w:sz w:val="23"/>
        </w:rPr>
        <w:t xml:space="preserve">Instrukcja techniczna G-1. Geodezyjna osnowa pozioma, GUGiK 1978. </w:t>
      </w:r>
    </w:p>
    <w:p>
      <w:pPr>
        <w:pStyle w:val="Default"/>
        <w:numPr>
          <w:ilvl w:val="0"/>
          <w:numId w:val="3"/>
        </w:numPr>
        <w:spacing w:before="57" w:after="164"/>
        <w:contextualSpacing/>
        <w:rPr>
          <w:sz w:val="23"/>
        </w:rPr>
      </w:pPr>
      <w:r>
        <w:rPr>
          <w:sz w:val="23"/>
        </w:rPr>
        <w:t xml:space="preserve">Instrukcja techniczna G-2. Wysokościowa osnowa geodezyjna, GUGiK 1983. </w:t>
      </w:r>
    </w:p>
    <w:p>
      <w:pPr>
        <w:pStyle w:val="Default"/>
        <w:numPr>
          <w:ilvl w:val="0"/>
          <w:numId w:val="3"/>
        </w:numPr>
        <w:spacing w:before="57" w:after="164"/>
        <w:contextualSpacing/>
        <w:rPr>
          <w:sz w:val="23"/>
        </w:rPr>
      </w:pPr>
      <w:r>
        <w:rPr>
          <w:sz w:val="23"/>
        </w:rPr>
        <w:t xml:space="preserve">Instrukcja techniczna G-4. Pomiary sytuacyjne i wysokościowe, GUGiK 1979. </w:t>
      </w:r>
    </w:p>
    <w:p>
      <w:pPr>
        <w:pStyle w:val="Default"/>
        <w:numPr>
          <w:ilvl w:val="0"/>
          <w:numId w:val="3"/>
        </w:numPr>
        <w:spacing w:before="57" w:after="164"/>
        <w:contextualSpacing/>
        <w:rPr>
          <w:sz w:val="23"/>
        </w:rPr>
      </w:pPr>
      <w:r>
        <w:rPr>
          <w:sz w:val="23"/>
        </w:rPr>
        <w:t xml:space="preserve">Wytyczne techniczne G-3.2. Pomiary realizacyjne, GUGiK 1983. </w:t>
      </w:r>
    </w:p>
    <w:p>
      <w:pPr>
        <w:pStyle w:val="Default"/>
        <w:numPr>
          <w:ilvl w:val="0"/>
          <w:numId w:val="3"/>
        </w:numPr>
        <w:spacing w:before="57" w:after="0"/>
        <w:contextualSpacing/>
        <w:rPr/>
      </w:pPr>
      <w:r>
        <w:rPr>
          <w:sz w:val="23"/>
        </w:rPr>
        <w:t xml:space="preserve">Wytyczne techniczne G-3.1. Osnowy realizacyjne, GUGiK 1983. </w:t>
      </w:r>
    </w:p>
    <w:sectPr>
      <w:footerReference w:type="default" r:id="rId2"/>
      <w:footerReference w:type="first" r:id="rId3"/>
      <w:type w:val="nextPage"/>
      <w:pgSz w:w="11906" w:h="16838"/>
      <w:pgMar w:left="1134" w:right="1134" w:gutter="0" w:header="0" w:top="1134" w:footer="1134" w:bottom="2050"/>
      <w:pgNumType w:fmt="decimal"/>
      <w:formProt w:val="false"/>
      <w:titlePg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2" w:space="1" w:color="000000"/>
      </w:pBdr>
      <w:spacing w:lineRule="auto" w:line="240" w:before="57" w:after="57"/>
      <w:contextualSpacing/>
      <w:jc w:val="center"/>
      <w:rPr>
        <w:sz w:val="20"/>
        <w:szCs w:val="20"/>
      </w:rPr>
    </w:pPr>
    <w:r>
      <w:rPr>
        <w:sz w:val="20"/>
        <w:szCs w:val="20"/>
      </w:rPr>
      <w:t>STWiORB – D.01.01.01</w:t>
    </w:r>
  </w:p>
  <w:p>
    <w:pPr>
      <w:pStyle w:val="Stopka"/>
      <w:pBdr>
        <w:top w:val="single" w:sz="2" w:space="1" w:color="000000"/>
      </w:pBdr>
      <w:spacing w:lineRule="auto" w:line="240" w:before="57" w:after="57"/>
      <w:contextualSpacing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suppressLineNumbers/>
      <w:spacing w:before="57" w:after="57"/>
      <w:contextualSpacing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pStyle w:val="Nagwek2"/>
      <w:numFmt w:val="decimal"/>
      <w:lvlText w:val="%1.%2."/>
      <w:lvlJc w:val="left"/>
      <w:pPr>
        <w:tabs>
          <w:tab w:val="num" w:pos="1080"/>
        </w:tabs>
        <w:ind w:left="1080" w:hanging="360"/>
      </w:pPr>
      <w:rPr/>
    </w:lvl>
    <w:lvl w:ilvl="2">
      <w:start w:val="1"/>
      <w:pStyle w:val="Nagwek3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181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360" w:before="57" w:after="57"/>
      <w:contextualSpacing/>
      <w:jc w:val="both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spacing w:before="113" w:after="57"/>
      <w:ind w:left="57" w:right="0" w:hanging="0"/>
      <w:contextualSpacing w:val="false"/>
      <w:jc w:val="left"/>
      <w:outlineLvl w:val="0"/>
    </w:pPr>
    <w:rPr>
      <w:b/>
      <w:bCs/>
      <w:sz w:val="24"/>
      <w:szCs w:val="24"/>
    </w:rPr>
  </w:style>
  <w:style w:type="paragraph" w:styleId="Nagwek2">
    <w:name w:val="Heading 2"/>
    <w:basedOn w:val="Nagwek"/>
    <w:next w:val="Tretekstu"/>
    <w:qFormat/>
    <w:pPr>
      <w:numPr>
        <w:ilvl w:val="1"/>
        <w:numId w:val="1"/>
      </w:numPr>
      <w:tabs>
        <w:tab w:val="clear" w:pos="709"/>
      </w:tabs>
      <w:spacing w:before="200" w:after="120"/>
      <w:ind w:left="0" w:right="0" w:hanging="0"/>
      <w:outlineLvl w:val="1"/>
    </w:pPr>
    <w:rPr>
      <w:rFonts w:ascii="Liberation Serif" w:hAnsi="Liberation Serif"/>
      <w:b/>
      <w:bCs/>
      <w:sz w:val="24"/>
      <w:szCs w:val="32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ind w:left="0" w:right="0" w:hanging="0"/>
      <w:outlineLvl w:val="2"/>
    </w:pPr>
    <w:rPr>
      <w:b/>
      <w:bCs/>
      <w:sz w:val="24"/>
      <w:szCs w:val="2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Czeindeksu">
    <w:name w:val="Łącze indeksu"/>
    <w:qFormat/>
    <w:rPr/>
  </w:style>
  <w:style w:type="character" w:styleId="WW8Num42z0">
    <w:name w:val="WW8Num42z0"/>
    <w:qFormat/>
    <w:rPr>
      <w:rFonts w:ascii="Symbol" w:hAnsi="Symbol" w:cs="Symbol"/>
    </w:rPr>
  </w:style>
  <w:style w:type="character" w:styleId="WW8Num44z0">
    <w:name w:val="WW8Num44z0"/>
    <w:qFormat/>
    <w:rPr>
      <w:rFonts w:ascii="Symbol" w:hAnsi="Symbol" w:cs="Symbol"/>
      <w:color w:val="000000"/>
      <w:sz w:val="16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WW8Num22z0">
    <w:name w:val="WW8Num22z0"/>
    <w:qFormat/>
    <w:rPr/>
  </w:style>
  <w:style w:type="character" w:styleId="WW8Num24z0">
    <w:name w:val="WW8Num24z0"/>
    <w:qFormat/>
    <w:rPr/>
  </w:style>
  <w:style w:type="character" w:styleId="WW8NumSt8z0">
    <w:name w:val="WW8NumSt8z0"/>
    <w:qFormat/>
    <w:rPr>
      <w:rFonts w:ascii="Symbol" w:hAnsi="Symbol" w:cs="Symbol"/>
    </w:rPr>
  </w:style>
  <w:style w:type="character" w:styleId="WW8Num29z0">
    <w:name w:val="WW8Num29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  <w:contextualSpacing w:val="false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tabs>
        <w:tab w:val="clear" w:pos="709"/>
      </w:tabs>
      <w:spacing w:lineRule="auto" w:line="276" w:before="0" w:after="142"/>
      <w:ind w:left="0" w:right="0" w:hanging="0"/>
      <w:contextualSpacing/>
    </w:pPr>
    <w:rPr>
      <w:sz w:val="22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  <w:contextualSpacing w:val="false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agwekindeksu">
    <w:name w:val="Index Heading"/>
    <w:basedOn w:val="Nagwek"/>
    <w:pPr>
      <w:suppressLineNumbers/>
      <w:ind w:left="0" w:right="0" w:hanging="0"/>
    </w:pPr>
    <w:rPr>
      <w:b/>
      <w:bCs/>
      <w:sz w:val="32"/>
      <w:szCs w:val="32"/>
    </w:rPr>
  </w:style>
  <w:style w:type="paragraph" w:styleId="Nagwekspisutreci">
    <w:name w:val="TOC Heading"/>
    <w:basedOn w:val="Nagwekindeksu"/>
    <w:pPr>
      <w:suppressLineNumbers/>
      <w:ind w:left="0" w:right="0" w:hanging="0"/>
    </w:pPr>
    <w:rPr>
      <w:b/>
      <w:bCs/>
      <w:sz w:val="32"/>
      <w:szCs w:val="32"/>
    </w:rPr>
  </w:style>
  <w:style w:type="paragraph" w:styleId="Spistreci1">
    <w:name w:val="TOC 1"/>
    <w:basedOn w:val="Indeks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pistreci2">
    <w:name w:val="TOC 2"/>
    <w:basedOn w:val="Indeks"/>
    <w:pPr>
      <w:tabs>
        <w:tab w:val="clear" w:pos="709"/>
        <w:tab w:val="right" w:pos="9355" w:leader="dot"/>
      </w:tabs>
      <w:ind w:left="283" w:right="0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Gwka">
    <w:name w:val="Header"/>
    <w:basedOn w:val="Gwkaistopka"/>
    <w:pPr>
      <w:suppressLineNumbers/>
    </w:pPr>
    <w:rPr/>
  </w:style>
  <w:style w:type="paragraph" w:styleId="Spistreci3">
    <w:name w:val="TOC 3"/>
    <w:basedOn w:val="Indeks"/>
    <w:pPr>
      <w:tabs>
        <w:tab w:val="clear" w:pos="709"/>
        <w:tab w:val="right" w:pos="9071" w:leader="dot"/>
      </w:tabs>
      <w:ind w:left="567" w:right="0" w:hanging="0"/>
    </w:pPr>
    <w:rPr/>
  </w:style>
  <w:style w:type="paragraph" w:styleId="Tekstost">
    <w:name w:val="tekst ost"/>
    <w:basedOn w:val="Normal"/>
    <w:qFormat/>
    <w:pPr>
      <w:widowControl/>
      <w:overflowPunct w:val="true"/>
      <w:spacing w:before="100" w:after="100"/>
      <w:contextualSpacing w:val="false"/>
      <w:textAlignment w:val="baseline"/>
    </w:pPr>
    <w:rPr>
      <w:sz w:val="20"/>
    </w:rPr>
  </w:style>
  <w:style w:type="paragraph" w:styleId="Podtytu">
    <w:name w:val="Subtitle"/>
    <w:basedOn w:val="Nagwek"/>
    <w:next w:val="Tretekstu"/>
    <w:qFormat/>
    <w:pPr>
      <w:spacing w:before="60" w:after="120"/>
      <w:jc w:val="center"/>
    </w:pPr>
    <w:rPr>
      <w:sz w:val="36"/>
      <w:szCs w:val="36"/>
    </w:rPr>
  </w:style>
  <w:style w:type="paragraph" w:styleId="Tekstwstpniesformatowany">
    <w:name w:val="Tekst wstępnie sformatowany"/>
    <w:basedOn w:val="Normal"/>
    <w:qFormat/>
    <w:pPr>
      <w:spacing w:before="57" w:after="0"/>
      <w:contextualSpacing w:val="false"/>
    </w:pPr>
    <w:rPr>
      <w:rFonts w:ascii="Liberation Mono" w:hAnsi="Liberation Mono" w:eastAsia="NSimSun" w:cs="Liberation Mono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2"/>
      <w:sz w:val="24"/>
      <w:szCs w:val="24"/>
      <w:lang w:val="pl-PL" w:eastAsia="zh-CN" w:bidi="hi-IN"/>
    </w:rPr>
  </w:style>
  <w:style w:type="numbering" w:styleId="Numeracja123">
    <w:name w:val="Numeracja 123"/>
    <w:qFormat/>
  </w:style>
  <w:style w:type="numbering" w:styleId="NumeracjaABC">
    <w:name w:val="Numeracja ABC"/>
    <w:qFormat/>
  </w:style>
  <w:style w:type="numbering" w:styleId="WW8Num42">
    <w:name w:val="WW8Num42"/>
    <w:qFormat/>
  </w:style>
  <w:style w:type="numbering" w:styleId="WW8Num44">
    <w:name w:val="WW8Num44"/>
    <w:qFormat/>
  </w:style>
  <w:style w:type="numbering" w:styleId="WW8Num22">
    <w:name w:val="WW8Num22"/>
    <w:qFormat/>
  </w:style>
  <w:style w:type="numbering" w:styleId="WW8Num24">
    <w:name w:val="WW8Num24"/>
    <w:qFormat/>
  </w:style>
  <w:style w:type="numbering" w:styleId="WW8Num10">
    <w:name w:val="WW8Num10"/>
    <w:qFormat/>
  </w:style>
  <w:style w:type="numbering" w:styleId="WW8Num13">
    <w:name w:val="WW8Num13"/>
    <w:qFormat/>
  </w:style>
  <w:style w:type="numbering" w:styleId="WW8Num8">
    <w:name w:val="WW8Num8"/>
    <w:qFormat/>
  </w:style>
  <w:style w:type="numbering" w:styleId="WW8Num29">
    <w:name w:val="WW8Num29"/>
    <w:qFormat/>
  </w:style>
  <w:style w:type="numbering" w:styleId="WW8Num27">
    <w:name w:val="WW8Num27"/>
    <w:qFormat/>
  </w:style>
  <w:style w:type="numbering" w:styleId="WW8Num21">
    <w:name w:val="WW8Num21"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6">
    <w:name w:val="WW8Num26"/>
    <w:qFormat/>
  </w:style>
  <w:style w:type="numbering" w:styleId="WW8Num7">
    <w:name w:val="WW8Num7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435</TotalTime>
  <Application>LibreOffice/7.3.2.2$Windows_X86_64 LibreOffice_project/49f2b1bff42cfccbd8f788c8dc32c1c309559be0</Application>
  <AppVersion>15.0000</AppVersion>
  <Pages>6</Pages>
  <Words>1196</Words>
  <Characters>7891</Characters>
  <CharactersWithSpaces>9051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2016-12-11T15:23:00Z</dcterms:created>
  <dc:creator>AxP</dc:creator>
  <dc:description/>
  <cp:keywords>specyfikacje drogi drogownictwo</cp:keywords>
  <dc:language>pl-PL</dc:language>
  <cp:lastModifiedBy/>
  <dcterms:modified xsi:type="dcterms:W3CDTF">2022-07-25T22:53:07Z</dcterms:modified>
  <cp:revision>118</cp:revision>
  <dc:subject>ost</dc:subject>
  <dc:title>GENERALNA DYREKCJA DRÓG PUBLICZNYCH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